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Default="00954646" w:rsidP="00A30E54">
      <w:pPr>
        <w:pStyle w:val="Body"/>
      </w:pPr>
      <w:r>
        <w:rPr>
          <w:noProof/>
        </w:rPr>
        <w:drawing>
          <wp:anchor distT="0" distB="0" distL="114300" distR="114300" simplePos="0" relativeHeight="251658240" behindDoc="1" locked="1" layoutInCell="1" allowOverlap="1" wp14:anchorId="7467F254" wp14:editId="32F5634C">
            <wp:simplePos x="0" y="0"/>
            <wp:positionH relativeFrom="page">
              <wp:posOffset>0</wp:posOffset>
            </wp:positionH>
            <wp:positionV relativeFrom="page">
              <wp:posOffset>0</wp:posOffset>
            </wp:positionV>
            <wp:extent cx="7560000" cy="10692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7801FD84" w14:textId="56CDE158" w:rsidR="001C5320" w:rsidRPr="00431F42" w:rsidRDefault="001C5320" w:rsidP="000C0D57">
      <w:pPr>
        <w:pStyle w:val="Documenttitle"/>
      </w:pPr>
      <w:r w:rsidRPr="001C5320">
        <w:t>Regulatory Approach</w:t>
      </w:r>
    </w:p>
    <w:p w14:paraId="2B2D6674" w14:textId="39824DBB" w:rsidR="00A30E54" w:rsidRPr="0019735F" w:rsidRDefault="001E0527" w:rsidP="00A30E54">
      <w:pPr>
        <w:pStyle w:val="Body"/>
        <w:rPr>
          <w:b/>
          <w:bCs/>
        </w:rPr>
      </w:pPr>
      <w:r w:rsidRPr="0019735F">
        <w:rPr>
          <w:b/>
          <w:bCs/>
        </w:rPr>
        <w:fldChar w:fldCharType="begin"/>
      </w:r>
      <w:r w:rsidRPr="0019735F">
        <w:rPr>
          <w:b/>
          <w:bCs/>
        </w:rPr>
        <w:instrText xml:space="preserve"> FILLIN  "Type the protective marking" \d OFFICIAL \o  \* MERGEFORMAT </w:instrText>
      </w:r>
      <w:r w:rsidRPr="0019735F">
        <w:rPr>
          <w:b/>
          <w:bCs/>
        </w:rPr>
        <w:fldChar w:fldCharType="separate"/>
      </w:r>
      <w:r w:rsidRPr="0019735F">
        <w:rPr>
          <w:b/>
          <w:bCs/>
        </w:rPr>
        <w:t>OFFICIAL</w:t>
      </w:r>
      <w:r w:rsidRPr="0019735F">
        <w:rPr>
          <w:b/>
          <w:bCs/>
        </w:rPr>
        <w:fldChar w:fldCharType="end"/>
      </w:r>
    </w:p>
    <w:p w14:paraId="0F3D1FA5" w14:textId="77777777" w:rsidR="001E0527" w:rsidRDefault="001E0527" w:rsidP="00A30E54">
      <w:pPr>
        <w:pStyle w:val="Body"/>
      </w:pPr>
    </w:p>
    <w:p w14:paraId="3B4B7FED" w14:textId="5A778641" w:rsidR="00FE4081" w:rsidRPr="00FE4081" w:rsidRDefault="00FE4081" w:rsidP="00FE4081">
      <w:pPr>
        <w:pStyle w:val="Body"/>
        <w:sectPr w:rsidR="00FE4081" w:rsidRPr="00FE4081" w:rsidSect="00C461DD">
          <w:headerReference w:type="default" r:id="rId12"/>
          <w:footerReference w:type="even" r:id="rId13"/>
          <w:footerReference w:type="default" r:id="rId14"/>
          <w:headerReference w:type="first" r:id="rId15"/>
          <w:footerReference w:type="first" r:id="rId16"/>
          <w:type w:val="continuous"/>
          <w:pgSz w:w="11906" w:h="16838" w:code="9"/>
          <w:pgMar w:top="1701" w:right="1304" w:bottom="1418" w:left="1361" w:header="680" w:footer="851" w:gutter="0"/>
          <w:cols w:space="340"/>
          <w:titlePg/>
          <w:docGrid w:linePitch="360"/>
        </w:sectPr>
      </w:pPr>
    </w:p>
    <w:p w14:paraId="380BC844" w14:textId="77777777" w:rsidR="00B2326E" w:rsidRPr="00C461DD" w:rsidRDefault="00B2326E" w:rsidP="00B2326E">
      <w:pPr>
        <w:pStyle w:val="Accessibilitypara"/>
      </w:pPr>
      <w:r w:rsidRPr="00406337">
        <w:lastRenderedPageBreak/>
        <w:t xml:space="preserve">To receive this document in another format, </w:t>
      </w:r>
      <w:hyperlink r:id="rId17" w:history="1">
        <w:r w:rsidRPr="00406337">
          <w:rPr>
            <w:rStyle w:val="Hyperlink"/>
            <w:color w:val="auto"/>
          </w:rPr>
          <w:t>email Commission for Gender Equality in the Public Sector</w:t>
        </w:r>
      </w:hyperlink>
      <w:r>
        <w:t xml:space="preserve"> </w:t>
      </w:r>
      <w:r w:rsidRPr="00F25E54">
        <w:t>&lt;enquiries@genderequalitycommission.vic.gov.au</w:t>
      </w:r>
      <w:r w:rsidRPr="00C461DD">
        <w:t>&gt;</w:t>
      </w:r>
    </w:p>
    <w:p w14:paraId="370E9BFD" w14:textId="77777777" w:rsidR="00B2326E" w:rsidRPr="00406337" w:rsidRDefault="00B2326E" w:rsidP="00B2326E">
      <w:pPr>
        <w:pStyle w:val="Imprint"/>
      </w:pPr>
      <w:r w:rsidRPr="00406337">
        <w:t>Authorised and published by the Victorian Government, 1 Treasury Place, Melbourne.</w:t>
      </w:r>
    </w:p>
    <w:p w14:paraId="46831718" w14:textId="77777777" w:rsidR="00B2326E" w:rsidRPr="00406337" w:rsidRDefault="00B2326E" w:rsidP="00B2326E">
      <w:pPr>
        <w:pStyle w:val="Imprint"/>
      </w:pPr>
      <w:r w:rsidRPr="00406337">
        <w:t xml:space="preserve">© State of Victoria, Commission for Gender Equality in the Public Sector, </w:t>
      </w:r>
      <w:proofErr w:type="gramStart"/>
      <w:r>
        <w:t>April,</w:t>
      </w:r>
      <w:proofErr w:type="gramEnd"/>
      <w:r>
        <w:t xml:space="preserve"> 2025</w:t>
      </w:r>
      <w:r w:rsidRPr="00406337">
        <w:t>.</w:t>
      </w:r>
    </w:p>
    <w:p w14:paraId="2E19D9EC" w14:textId="77777777" w:rsidR="00B2326E" w:rsidRPr="00406337" w:rsidRDefault="00B2326E" w:rsidP="00B2326E">
      <w:pPr>
        <w:pStyle w:val="Imprint"/>
      </w:pPr>
      <w:bookmarkStart w:id="0" w:name="_Hlk62746129"/>
      <w:r w:rsidRPr="00406337">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0CA0349" w14:textId="77777777" w:rsidR="00B2326E" w:rsidRPr="00406337" w:rsidRDefault="00B2326E" w:rsidP="00B2326E">
      <w:pPr>
        <w:pStyle w:val="Imprint"/>
      </w:pPr>
      <w:r w:rsidRPr="00406337">
        <w:t>In this document, ‘Aboriginal’ refers to both Aboriginal and Torres Strait Islander people. ‘Indigenous’ or ‘Koori/Koorie’ is retained when part of the title of a report, program or quotation.</w:t>
      </w:r>
    </w:p>
    <w:p w14:paraId="5A35B517" w14:textId="77777777" w:rsidR="000902D6" w:rsidRPr="00625DAD" w:rsidRDefault="000902D6" w:rsidP="00B2326E">
      <w:pPr>
        <w:pStyle w:val="Imprint"/>
      </w:pPr>
      <w:r w:rsidRPr="00625DAD">
        <w:t>ISBN 978-1-76130-796-6 (pdf/online/MS word)</w:t>
      </w:r>
    </w:p>
    <w:p w14:paraId="2652A8DA" w14:textId="77777777" w:rsidR="00B2326E" w:rsidRPr="00406337" w:rsidRDefault="00B2326E" w:rsidP="00B2326E">
      <w:pPr>
        <w:pStyle w:val="Imprint"/>
      </w:pPr>
      <w:r w:rsidRPr="00406337">
        <w:t xml:space="preserve">Available at the </w:t>
      </w:r>
      <w:hyperlink r:id="rId18" w:history="1">
        <w:r w:rsidRPr="00406337">
          <w:rPr>
            <w:rStyle w:val="Hyperlink"/>
            <w:color w:val="auto"/>
          </w:rPr>
          <w:t>Commission for Gender Equality in the Public Sector website</w:t>
        </w:r>
      </w:hyperlink>
      <w:r w:rsidRPr="00406337">
        <w:t xml:space="preserve"> &lt;www.genderequalitycommission.vic.gov.au&gt;</w:t>
      </w:r>
    </w:p>
    <w:bookmarkEnd w:id="0"/>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40EA6F49" w14:textId="3AE673F1" w:rsidR="0052235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3702988" w:history="1">
        <w:r w:rsidR="00522353" w:rsidRPr="0001230D">
          <w:rPr>
            <w:rStyle w:val="Hyperlink"/>
          </w:rPr>
          <w:t>Overview</w:t>
        </w:r>
        <w:r w:rsidR="00522353">
          <w:rPr>
            <w:webHidden/>
          </w:rPr>
          <w:tab/>
        </w:r>
        <w:r w:rsidR="00522353">
          <w:rPr>
            <w:webHidden/>
          </w:rPr>
          <w:fldChar w:fldCharType="begin"/>
        </w:r>
        <w:r w:rsidR="00522353">
          <w:rPr>
            <w:webHidden/>
          </w:rPr>
          <w:instrText xml:space="preserve"> PAGEREF _Toc193702988 \h </w:instrText>
        </w:r>
        <w:r w:rsidR="00522353">
          <w:rPr>
            <w:webHidden/>
          </w:rPr>
        </w:r>
        <w:r w:rsidR="00522353">
          <w:rPr>
            <w:webHidden/>
          </w:rPr>
          <w:fldChar w:fldCharType="separate"/>
        </w:r>
        <w:r w:rsidR="00522353">
          <w:rPr>
            <w:webHidden/>
          </w:rPr>
          <w:t>4</w:t>
        </w:r>
        <w:r w:rsidR="00522353">
          <w:rPr>
            <w:webHidden/>
          </w:rPr>
          <w:fldChar w:fldCharType="end"/>
        </w:r>
      </w:hyperlink>
    </w:p>
    <w:p w14:paraId="7CBC0B99" w14:textId="162AA593" w:rsidR="00522353" w:rsidRDefault="00522353">
      <w:pPr>
        <w:pStyle w:val="TOC1"/>
        <w:rPr>
          <w:rFonts w:asciiTheme="minorHAnsi" w:eastAsiaTheme="minorEastAsia" w:hAnsiTheme="minorHAnsi" w:cstheme="minorBidi"/>
          <w:b w:val="0"/>
          <w:kern w:val="2"/>
          <w:sz w:val="24"/>
          <w:szCs w:val="24"/>
          <w:lang w:eastAsia="en-AU"/>
          <w14:ligatures w14:val="standardContextual"/>
        </w:rPr>
      </w:pPr>
      <w:hyperlink w:anchor="_Toc193702989" w:history="1">
        <w:r w:rsidRPr="0001230D">
          <w:rPr>
            <w:rStyle w:val="Hyperlink"/>
          </w:rPr>
          <w:t>Who we are</w:t>
        </w:r>
        <w:r>
          <w:rPr>
            <w:webHidden/>
          </w:rPr>
          <w:tab/>
        </w:r>
        <w:r>
          <w:rPr>
            <w:webHidden/>
          </w:rPr>
          <w:fldChar w:fldCharType="begin"/>
        </w:r>
        <w:r>
          <w:rPr>
            <w:webHidden/>
          </w:rPr>
          <w:instrText xml:space="preserve"> PAGEREF _Toc193702989 \h </w:instrText>
        </w:r>
        <w:r>
          <w:rPr>
            <w:webHidden/>
          </w:rPr>
        </w:r>
        <w:r>
          <w:rPr>
            <w:webHidden/>
          </w:rPr>
          <w:fldChar w:fldCharType="separate"/>
        </w:r>
        <w:r>
          <w:rPr>
            <w:webHidden/>
          </w:rPr>
          <w:t>4</w:t>
        </w:r>
        <w:r>
          <w:rPr>
            <w:webHidden/>
          </w:rPr>
          <w:fldChar w:fldCharType="end"/>
        </w:r>
      </w:hyperlink>
    </w:p>
    <w:p w14:paraId="5515E2BE" w14:textId="596F6352" w:rsidR="00522353" w:rsidRDefault="00522353">
      <w:pPr>
        <w:pStyle w:val="TOC2"/>
        <w:rPr>
          <w:rFonts w:asciiTheme="minorHAnsi" w:eastAsiaTheme="minorEastAsia" w:hAnsiTheme="minorHAnsi" w:cstheme="minorBidi"/>
          <w:kern w:val="2"/>
          <w:sz w:val="24"/>
          <w:szCs w:val="24"/>
          <w:lang w:eastAsia="en-AU"/>
          <w14:ligatures w14:val="standardContextual"/>
        </w:rPr>
      </w:pPr>
      <w:hyperlink w:anchor="_Toc193702990" w:history="1">
        <w:r w:rsidRPr="0001230D">
          <w:rPr>
            <w:rStyle w:val="Hyperlink"/>
          </w:rPr>
          <w:t>The Gender Equality Act 2020</w:t>
        </w:r>
        <w:r>
          <w:rPr>
            <w:webHidden/>
          </w:rPr>
          <w:tab/>
        </w:r>
        <w:r>
          <w:rPr>
            <w:webHidden/>
          </w:rPr>
          <w:fldChar w:fldCharType="begin"/>
        </w:r>
        <w:r>
          <w:rPr>
            <w:webHidden/>
          </w:rPr>
          <w:instrText xml:space="preserve"> PAGEREF _Toc193702990 \h </w:instrText>
        </w:r>
        <w:r>
          <w:rPr>
            <w:webHidden/>
          </w:rPr>
        </w:r>
        <w:r>
          <w:rPr>
            <w:webHidden/>
          </w:rPr>
          <w:fldChar w:fldCharType="separate"/>
        </w:r>
        <w:r>
          <w:rPr>
            <w:webHidden/>
          </w:rPr>
          <w:t>4</w:t>
        </w:r>
        <w:r>
          <w:rPr>
            <w:webHidden/>
          </w:rPr>
          <w:fldChar w:fldCharType="end"/>
        </w:r>
      </w:hyperlink>
    </w:p>
    <w:p w14:paraId="43A87E19" w14:textId="70D64A24" w:rsidR="00522353" w:rsidRDefault="00522353">
      <w:pPr>
        <w:pStyle w:val="TOC1"/>
        <w:rPr>
          <w:rFonts w:asciiTheme="minorHAnsi" w:eastAsiaTheme="minorEastAsia" w:hAnsiTheme="minorHAnsi" w:cstheme="minorBidi"/>
          <w:b w:val="0"/>
          <w:kern w:val="2"/>
          <w:sz w:val="24"/>
          <w:szCs w:val="24"/>
          <w:lang w:eastAsia="en-AU"/>
          <w14:ligatures w14:val="standardContextual"/>
        </w:rPr>
      </w:pPr>
      <w:hyperlink w:anchor="_Toc193702991" w:history="1">
        <w:r w:rsidRPr="0001230D">
          <w:rPr>
            <w:rStyle w:val="Hyperlink"/>
          </w:rPr>
          <w:t>Who we regulate</w:t>
        </w:r>
        <w:r>
          <w:rPr>
            <w:webHidden/>
          </w:rPr>
          <w:tab/>
        </w:r>
        <w:r>
          <w:rPr>
            <w:webHidden/>
          </w:rPr>
          <w:fldChar w:fldCharType="begin"/>
        </w:r>
        <w:r>
          <w:rPr>
            <w:webHidden/>
          </w:rPr>
          <w:instrText xml:space="preserve"> PAGEREF _Toc193702991 \h </w:instrText>
        </w:r>
        <w:r>
          <w:rPr>
            <w:webHidden/>
          </w:rPr>
        </w:r>
        <w:r>
          <w:rPr>
            <w:webHidden/>
          </w:rPr>
          <w:fldChar w:fldCharType="separate"/>
        </w:r>
        <w:r>
          <w:rPr>
            <w:webHidden/>
          </w:rPr>
          <w:t>4</w:t>
        </w:r>
        <w:r>
          <w:rPr>
            <w:webHidden/>
          </w:rPr>
          <w:fldChar w:fldCharType="end"/>
        </w:r>
      </w:hyperlink>
    </w:p>
    <w:p w14:paraId="31FA4E37" w14:textId="5EC34684" w:rsidR="00522353" w:rsidRDefault="00522353">
      <w:pPr>
        <w:pStyle w:val="TOC1"/>
        <w:rPr>
          <w:rFonts w:asciiTheme="minorHAnsi" w:eastAsiaTheme="minorEastAsia" w:hAnsiTheme="minorHAnsi" w:cstheme="minorBidi"/>
          <w:b w:val="0"/>
          <w:kern w:val="2"/>
          <w:sz w:val="24"/>
          <w:szCs w:val="24"/>
          <w:lang w:eastAsia="en-AU"/>
          <w14:ligatures w14:val="standardContextual"/>
        </w:rPr>
      </w:pPr>
      <w:hyperlink w:anchor="_Toc193702992" w:history="1">
        <w:r w:rsidRPr="0001230D">
          <w:rPr>
            <w:rStyle w:val="Hyperlink"/>
          </w:rPr>
          <w:t>What we regulate</w:t>
        </w:r>
        <w:r>
          <w:rPr>
            <w:webHidden/>
          </w:rPr>
          <w:tab/>
        </w:r>
        <w:r>
          <w:rPr>
            <w:webHidden/>
          </w:rPr>
          <w:fldChar w:fldCharType="begin"/>
        </w:r>
        <w:r>
          <w:rPr>
            <w:webHidden/>
          </w:rPr>
          <w:instrText xml:space="preserve"> PAGEREF _Toc193702992 \h </w:instrText>
        </w:r>
        <w:r>
          <w:rPr>
            <w:webHidden/>
          </w:rPr>
        </w:r>
        <w:r>
          <w:rPr>
            <w:webHidden/>
          </w:rPr>
          <w:fldChar w:fldCharType="separate"/>
        </w:r>
        <w:r>
          <w:rPr>
            <w:webHidden/>
          </w:rPr>
          <w:t>5</w:t>
        </w:r>
        <w:r>
          <w:rPr>
            <w:webHidden/>
          </w:rPr>
          <w:fldChar w:fldCharType="end"/>
        </w:r>
      </w:hyperlink>
    </w:p>
    <w:p w14:paraId="6A97523E" w14:textId="4883F07C" w:rsidR="00522353" w:rsidRDefault="00522353">
      <w:pPr>
        <w:pStyle w:val="TOC2"/>
        <w:rPr>
          <w:rFonts w:asciiTheme="minorHAnsi" w:eastAsiaTheme="minorEastAsia" w:hAnsiTheme="minorHAnsi" w:cstheme="minorBidi"/>
          <w:kern w:val="2"/>
          <w:sz w:val="24"/>
          <w:szCs w:val="24"/>
          <w:lang w:eastAsia="en-AU"/>
          <w14:ligatures w14:val="standardContextual"/>
        </w:rPr>
      </w:pPr>
      <w:hyperlink w:anchor="_Toc193702993" w:history="1">
        <w:r w:rsidRPr="0001230D">
          <w:rPr>
            <w:rStyle w:val="Hyperlink"/>
          </w:rPr>
          <w:t xml:space="preserve">Our co-regulators </w:t>
        </w:r>
        <w:r>
          <w:rPr>
            <w:webHidden/>
          </w:rPr>
          <w:tab/>
        </w:r>
        <w:r>
          <w:rPr>
            <w:webHidden/>
          </w:rPr>
          <w:fldChar w:fldCharType="begin"/>
        </w:r>
        <w:r>
          <w:rPr>
            <w:webHidden/>
          </w:rPr>
          <w:instrText xml:space="preserve"> PAGEREF _Toc193702993 \h </w:instrText>
        </w:r>
        <w:r>
          <w:rPr>
            <w:webHidden/>
          </w:rPr>
        </w:r>
        <w:r>
          <w:rPr>
            <w:webHidden/>
          </w:rPr>
          <w:fldChar w:fldCharType="separate"/>
        </w:r>
        <w:r>
          <w:rPr>
            <w:webHidden/>
          </w:rPr>
          <w:t>5</w:t>
        </w:r>
        <w:r>
          <w:rPr>
            <w:webHidden/>
          </w:rPr>
          <w:fldChar w:fldCharType="end"/>
        </w:r>
      </w:hyperlink>
    </w:p>
    <w:p w14:paraId="4A3B128D" w14:textId="5EA39626" w:rsidR="00522353" w:rsidRDefault="00522353">
      <w:pPr>
        <w:pStyle w:val="TOC1"/>
        <w:rPr>
          <w:rFonts w:asciiTheme="minorHAnsi" w:eastAsiaTheme="minorEastAsia" w:hAnsiTheme="minorHAnsi" w:cstheme="minorBidi"/>
          <w:b w:val="0"/>
          <w:kern w:val="2"/>
          <w:sz w:val="24"/>
          <w:szCs w:val="24"/>
          <w:lang w:eastAsia="en-AU"/>
          <w14:ligatures w14:val="standardContextual"/>
        </w:rPr>
      </w:pPr>
      <w:hyperlink w:anchor="_Toc193702994" w:history="1">
        <w:r w:rsidRPr="0001230D">
          <w:rPr>
            <w:rStyle w:val="Hyperlink"/>
          </w:rPr>
          <w:t>Our regulatory approach</w:t>
        </w:r>
        <w:r>
          <w:rPr>
            <w:webHidden/>
          </w:rPr>
          <w:tab/>
        </w:r>
        <w:r>
          <w:rPr>
            <w:webHidden/>
          </w:rPr>
          <w:fldChar w:fldCharType="begin"/>
        </w:r>
        <w:r>
          <w:rPr>
            <w:webHidden/>
          </w:rPr>
          <w:instrText xml:space="preserve"> PAGEREF _Toc193702994 \h </w:instrText>
        </w:r>
        <w:r>
          <w:rPr>
            <w:webHidden/>
          </w:rPr>
        </w:r>
        <w:r>
          <w:rPr>
            <w:webHidden/>
          </w:rPr>
          <w:fldChar w:fldCharType="separate"/>
        </w:r>
        <w:r>
          <w:rPr>
            <w:webHidden/>
          </w:rPr>
          <w:t>5</w:t>
        </w:r>
        <w:r>
          <w:rPr>
            <w:webHidden/>
          </w:rPr>
          <w:fldChar w:fldCharType="end"/>
        </w:r>
      </w:hyperlink>
    </w:p>
    <w:p w14:paraId="574398FE" w14:textId="1149159F" w:rsidR="00522353" w:rsidRDefault="00522353">
      <w:pPr>
        <w:pStyle w:val="TOC2"/>
        <w:rPr>
          <w:rFonts w:asciiTheme="minorHAnsi" w:eastAsiaTheme="minorEastAsia" w:hAnsiTheme="minorHAnsi" w:cstheme="minorBidi"/>
          <w:kern w:val="2"/>
          <w:sz w:val="24"/>
          <w:szCs w:val="24"/>
          <w:lang w:eastAsia="en-AU"/>
          <w14:ligatures w14:val="standardContextual"/>
        </w:rPr>
      </w:pPr>
      <w:hyperlink w:anchor="_Toc193702995" w:history="1">
        <w:r w:rsidRPr="0001230D">
          <w:rPr>
            <w:rStyle w:val="Hyperlink"/>
          </w:rPr>
          <w:t>Regulatory principles</w:t>
        </w:r>
        <w:r>
          <w:rPr>
            <w:webHidden/>
          </w:rPr>
          <w:tab/>
        </w:r>
        <w:r>
          <w:rPr>
            <w:webHidden/>
          </w:rPr>
          <w:fldChar w:fldCharType="begin"/>
        </w:r>
        <w:r>
          <w:rPr>
            <w:webHidden/>
          </w:rPr>
          <w:instrText xml:space="preserve"> PAGEREF _Toc193702995 \h </w:instrText>
        </w:r>
        <w:r>
          <w:rPr>
            <w:webHidden/>
          </w:rPr>
        </w:r>
        <w:r>
          <w:rPr>
            <w:webHidden/>
          </w:rPr>
          <w:fldChar w:fldCharType="separate"/>
        </w:r>
        <w:r>
          <w:rPr>
            <w:webHidden/>
          </w:rPr>
          <w:t>6</w:t>
        </w:r>
        <w:r>
          <w:rPr>
            <w:webHidden/>
          </w:rPr>
          <w:fldChar w:fldCharType="end"/>
        </w:r>
      </w:hyperlink>
    </w:p>
    <w:p w14:paraId="57512615" w14:textId="15C902AB" w:rsidR="00522353" w:rsidRDefault="00522353">
      <w:pPr>
        <w:pStyle w:val="TOC2"/>
        <w:rPr>
          <w:rFonts w:asciiTheme="minorHAnsi" w:eastAsiaTheme="minorEastAsia" w:hAnsiTheme="minorHAnsi" w:cstheme="minorBidi"/>
          <w:kern w:val="2"/>
          <w:sz w:val="24"/>
          <w:szCs w:val="24"/>
          <w:lang w:eastAsia="en-AU"/>
          <w14:ligatures w14:val="standardContextual"/>
        </w:rPr>
      </w:pPr>
      <w:hyperlink w:anchor="_Toc193702996" w:history="1">
        <w:r w:rsidRPr="0001230D">
          <w:rPr>
            <w:rStyle w:val="Hyperlink"/>
          </w:rPr>
          <w:t>Taking a risk-based approach to reducing harm</w:t>
        </w:r>
        <w:r>
          <w:rPr>
            <w:webHidden/>
          </w:rPr>
          <w:tab/>
        </w:r>
        <w:r>
          <w:rPr>
            <w:webHidden/>
          </w:rPr>
          <w:fldChar w:fldCharType="begin"/>
        </w:r>
        <w:r>
          <w:rPr>
            <w:webHidden/>
          </w:rPr>
          <w:instrText xml:space="preserve"> PAGEREF _Toc193702996 \h </w:instrText>
        </w:r>
        <w:r>
          <w:rPr>
            <w:webHidden/>
          </w:rPr>
        </w:r>
        <w:r>
          <w:rPr>
            <w:webHidden/>
          </w:rPr>
          <w:fldChar w:fldCharType="separate"/>
        </w:r>
        <w:r>
          <w:rPr>
            <w:webHidden/>
          </w:rPr>
          <w:t>7</w:t>
        </w:r>
        <w:r>
          <w:rPr>
            <w:webHidden/>
          </w:rPr>
          <w:fldChar w:fldCharType="end"/>
        </w:r>
      </w:hyperlink>
    </w:p>
    <w:p w14:paraId="5F2EDD5A" w14:textId="493F726C" w:rsidR="00522353" w:rsidRDefault="00522353">
      <w:pPr>
        <w:pStyle w:val="TOC1"/>
        <w:rPr>
          <w:rFonts w:asciiTheme="minorHAnsi" w:eastAsiaTheme="minorEastAsia" w:hAnsiTheme="minorHAnsi" w:cstheme="minorBidi"/>
          <w:b w:val="0"/>
          <w:kern w:val="2"/>
          <w:sz w:val="24"/>
          <w:szCs w:val="24"/>
          <w:lang w:eastAsia="en-AU"/>
          <w14:ligatures w14:val="standardContextual"/>
        </w:rPr>
      </w:pPr>
      <w:hyperlink w:anchor="_Toc193702997" w:history="1">
        <w:r w:rsidRPr="0001230D">
          <w:rPr>
            <w:rStyle w:val="Hyperlink"/>
          </w:rPr>
          <w:t>Our regulatory tools</w:t>
        </w:r>
        <w:r>
          <w:rPr>
            <w:webHidden/>
          </w:rPr>
          <w:tab/>
        </w:r>
        <w:r>
          <w:rPr>
            <w:webHidden/>
          </w:rPr>
          <w:fldChar w:fldCharType="begin"/>
        </w:r>
        <w:r>
          <w:rPr>
            <w:webHidden/>
          </w:rPr>
          <w:instrText xml:space="preserve"> PAGEREF _Toc193702997 \h </w:instrText>
        </w:r>
        <w:r>
          <w:rPr>
            <w:webHidden/>
          </w:rPr>
        </w:r>
        <w:r>
          <w:rPr>
            <w:webHidden/>
          </w:rPr>
          <w:fldChar w:fldCharType="separate"/>
        </w:r>
        <w:r>
          <w:rPr>
            <w:webHidden/>
          </w:rPr>
          <w:t>10</w:t>
        </w:r>
        <w:r>
          <w:rPr>
            <w:webHidden/>
          </w:rPr>
          <w:fldChar w:fldCharType="end"/>
        </w:r>
      </w:hyperlink>
    </w:p>
    <w:p w14:paraId="23EEAADA" w14:textId="1384C9C6" w:rsidR="00522353" w:rsidRDefault="00522353">
      <w:pPr>
        <w:pStyle w:val="TOC2"/>
        <w:rPr>
          <w:rFonts w:asciiTheme="minorHAnsi" w:eastAsiaTheme="minorEastAsia" w:hAnsiTheme="minorHAnsi" w:cstheme="minorBidi"/>
          <w:kern w:val="2"/>
          <w:sz w:val="24"/>
          <w:szCs w:val="24"/>
          <w:lang w:eastAsia="en-AU"/>
          <w14:ligatures w14:val="standardContextual"/>
        </w:rPr>
      </w:pPr>
      <w:hyperlink w:anchor="_Toc193702998" w:history="1">
        <w:r w:rsidRPr="0001230D">
          <w:rPr>
            <w:rStyle w:val="Hyperlink"/>
          </w:rPr>
          <w:t>Hierarchy of regulatory activities</w:t>
        </w:r>
        <w:r>
          <w:rPr>
            <w:webHidden/>
          </w:rPr>
          <w:tab/>
        </w:r>
        <w:r>
          <w:rPr>
            <w:webHidden/>
          </w:rPr>
          <w:fldChar w:fldCharType="begin"/>
        </w:r>
        <w:r>
          <w:rPr>
            <w:webHidden/>
          </w:rPr>
          <w:instrText xml:space="preserve"> PAGEREF _Toc193702998 \h </w:instrText>
        </w:r>
        <w:r>
          <w:rPr>
            <w:webHidden/>
          </w:rPr>
        </w:r>
        <w:r>
          <w:rPr>
            <w:webHidden/>
          </w:rPr>
          <w:fldChar w:fldCharType="separate"/>
        </w:r>
        <w:r>
          <w:rPr>
            <w:webHidden/>
          </w:rPr>
          <w:t>10</w:t>
        </w:r>
        <w:r>
          <w:rPr>
            <w:webHidden/>
          </w:rPr>
          <w:fldChar w:fldCharType="end"/>
        </w:r>
      </w:hyperlink>
    </w:p>
    <w:p w14:paraId="161D28EB" w14:textId="5D58E966" w:rsidR="00522353" w:rsidRDefault="00522353">
      <w:pPr>
        <w:pStyle w:val="TOC1"/>
        <w:rPr>
          <w:rFonts w:asciiTheme="minorHAnsi" w:eastAsiaTheme="minorEastAsia" w:hAnsiTheme="minorHAnsi" w:cstheme="minorBidi"/>
          <w:b w:val="0"/>
          <w:kern w:val="2"/>
          <w:sz w:val="24"/>
          <w:szCs w:val="24"/>
          <w:lang w:eastAsia="en-AU"/>
          <w14:ligatures w14:val="standardContextual"/>
        </w:rPr>
      </w:pPr>
      <w:hyperlink w:anchor="_Toc193702999" w:history="1">
        <w:r w:rsidRPr="0001230D">
          <w:rPr>
            <w:rStyle w:val="Hyperlink"/>
          </w:rPr>
          <w:t>Expectations of duty holders</w:t>
        </w:r>
        <w:r>
          <w:rPr>
            <w:webHidden/>
          </w:rPr>
          <w:tab/>
        </w:r>
        <w:r>
          <w:rPr>
            <w:webHidden/>
          </w:rPr>
          <w:fldChar w:fldCharType="begin"/>
        </w:r>
        <w:r>
          <w:rPr>
            <w:webHidden/>
          </w:rPr>
          <w:instrText xml:space="preserve"> PAGEREF _Toc193702999 \h </w:instrText>
        </w:r>
        <w:r>
          <w:rPr>
            <w:webHidden/>
          </w:rPr>
        </w:r>
        <w:r>
          <w:rPr>
            <w:webHidden/>
          </w:rPr>
          <w:fldChar w:fldCharType="separate"/>
        </w:r>
        <w:r>
          <w:rPr>
            <w:webHidden/>
          </w:rPr>
          <w:t>11</w:t>
        </w:r>
        <w:r>
          <w:rPr>
            <w:webHidden/>
          </w:rPr>
          <w:fldChar w:fldCharType="end"/>
        </w:r>
      </w:hyperlink>
    </w:p>
    <w:p w14:paraId="77B769ED" w14:textId="244ABE03" w:rsidR="00522353" w:rsidRDefault="00522353">
      <w:pPr>
        <w:pStyle w:val="TOC1"/>
        <w:rPr>
          <w:rFonts w:asciiTheme="minorHAnsi" w:eastAsiaTheme="minorEastAsia" w:hAnsiTheme="minorHAnsi" w:cstheme="minorBidi"/>
          <w:b w:val="0"/>
          <w:kern w:val="2"/>
          <w:sz w:val="24"/>
          <w:szCs w:val="24"/>
          <w:lang w:eastAsia="en-AU"/>
          <w14:ligatures w14:val="standardContextual"/>
        </w:rPr>
      </w:pPr>
      <w:hyperlink w:anchor="_Toc193703000" w:history="1">
        <w:r w:rsidRPr="0001230D">
          <w:rPr>
            <w:rStyle w:val="Hyperlink"/>
          </w:rPr>
          <w:t>Enforcement approach</w:t>
        </w:r>
        <w:r>
          <w:rPr>
            <w:webHidden/>
          </w:rPr>
          <w:tab/>
        </w:r>
        <w:r>
          <w:rPr>
            <w:webHidden/>
          </w:rPr>
          <w:fldChar w:fldCharType="begin"/>
        </w:r>
        <w:r>
          <w:rPr>
            <w:webHidden/>
          </w:rPr>
          <w:instrText xml:space="preserve"> PAGEREF _Toc193703000 \h </w:instrText>
        </w:r>
        <w:r>
          <w:rPr>
            <w:webHidden/>
          </w:rPr>
        </w:r>
        <w:r>
          <w:rPr>
            <w:webHidden/>
          </w:rPr>
          <w:fldChar w:fldCharType="separate"/>
        </w:r>
        <w:r>
          <w:rPr>
            <w:webHidden/>
          </w:rPr>
          <w:t>11</w:t>
        </w:r>
        <w:r>
          <w:rPr>
            <w:webHidden/>
          </w:rPr>
          <w:fldChar w:fldCharType="end"/>
        </w:r>
      </w:hyperlink>
    </w:p>
    <w:p w14:paraId="5267AFE5" w14:textId="582C9553" w:rsidR="00522353" w:rsidRDefault="00522353">
      <w:pPr>
        <w:pStyle w:val="TOC2"/>
        <w:rPr>
          <w:rFonts w:asciiTheme="minorHAnsi" w:eastAsiaTheme="minorEastAsia" w:hAnsiTheme="minorHAnsi" w:cstheme="minorBidi"/>
          <w:kern w:val="2"/>
          <w:sz w:val="24"/>
          <w:szCs w:val="24"/>
          <w:lang w:eastAsia="en-AU"/>
          <w14:ligatures w14:val="standardContextual"/>
        </w:rPr>
      </w:pPr>
      <w:hyperlink w:anchor="_Toc193703001" w:history="1">
        <w:r w:rsidRPr="0001230D">
          <w:rPr>
            <w:rStyle w:val="Hyperlink"/>
          </w:rPr>
          <w:t>Reviewing regulatory decisions</w:t>
        </w:r>
        <w:r>
          <w:rPr>
            <w:webHidden/>
          </w:rPr>
          <w:tab/>
        </w:r>
        <w:r>
          <w:rPr>
            <w:webHidden/>
          </w:rPr>
          <w:fldChar w:fldCharType="begin"/>
        </w:r>
        <w:r>
          <w:rPr>
            <w:webHidden/>
          </w:rPr>
          <w:instrText xml:space="preserve"> PAGEREF _Toc193703001 \h </w:instrText>
        </w:r>
        <w:r>
          <w:rPr>
            <w:webHidden/>
          </w:rPr>
        </w:r>
        <w:r>
          <w:rPr>
            <w:webHidden/>
          </w:rPr>
          <w:fldChar w:fldCharType="separate"/>
        </w:r>
        <w:r>
          <w:rPr>
            <w:webHidden/>
          </w:rPr>
          <w:t>12</w:t>
        </w:r>
        <w:r>
          <w:rPr>
            <w:webHidden/>
          </w:rPr>
          <w:fldChar w:fldCharType="end"/>
        </w:r>
      </w:hyperlink>
    </w:p>
    <w:p w14:paraId="42C49055" w14:textId="6ED3B556"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56680163" w14:textId="77777777" w:rsidR="00055213" w:rsidRPr="00D51855" w:rsidRDefault="00055213" w:rsidP="00055213">
      <w:pPr>
        <w:pStyle w:val="Heading1"/>
      </w:pPr>
      <w:bookmarkStart w:id="1" w:name="_Toc188276053"/>
      <w:bookmarkStart w:id="2" w:name="_Toc192071625"/>
      <w:bookmarkStart w:id="3" w:name="_Toc193702988"/>
      <w:r>
        <w:lastRenderedPageBreak/>
        <w:t>Overview</w:t>
      </w:r>
      <w:bookmarkEnd w:id="1"/>
      <w:bookmarkEnd w:id="2"/>
      <w:bookmarkEnd w:id="3"/>
      <w:r>
        <w:t xml:space="preserve"> </w:t>
      </w:r>
    </w:p>
    <w:p w14:paraId="6F0A1844" w14:textId="77777777" w:rsidR="00055213" w:rsidRPr="00851456" w:rsidRDefault="00055213" w:rsidP="00055213">
      <w:pPr>
        <w:pStyle w:val="Body"/>
      </w:pPr>
      <w:r w:rsidRPr="00851456">
        <w:t xml:space="preserve">The Public Sector Gender Equality Commissioner was established under the </w:t>
      </w:r>
      <w:hyperlink r:id="rId19" w:history="1">
        <w:r w:rsidRPr="00522353">
          <w:rPr>
            <w:rStyle w:val="Hyperlink"/>
            <w:i/>
            <w:iCs/>
          </w:rPr>
          <w:t>Gender Equality Act 2020</w:t>
        </w:r>
      </w:hyperlink>
      <w:r w:rsidRPr="00FE354D">
        <w:rPr>
          <w:i/>
          <w:iCs/>
        </w:rPr>
        <w:t>.</w:t>
      </w:r>
      <w:r w:rsidRPr="00851456">
        <w:t xml:space="preserve"> The Commissioner and their staff oversee the Act and promote gender equality in the public sector workforce and wider Victorian community.</w:t>
      </w:r>
      <w:r>
        <w:t xml:space="preserve"> This document outlines how we will perform as a leading practice regulator.</w:t>
      </w:r>
    </w:p>
    <w:p w14:paraId="7151D8B8" w14:textId="77777777" w:rsidR="00055213" w:rsidRPr="00D51855" w:rsidRDefault="00055213" w:rsidP="00055213">
      <w:pPr>
        <w:pStyle w:val="Heading1"/>
      </w:pPr>
      <w:bookmarkStart w:id="4" w:name="_Toc192071626"/>
      <w:bookmarkStart w:id="5" w:name="_Toc193702989"/>
      <w:bookmarkStart w:id="6" w:name="_Toc188276054"/>
      <w:r>
        <w:t>Who we are</w:t>
      </w:r>
      <w:bookmarkEnd w:id="4"/>
      <w:bookmarkEnd w:id="5"/>
    </w:p>
    <w:bookmarkEnd w:id="6"/>
    <w:p w14:paraId="6BF3F9F6" w14:textId="77777777" w:rsidR="00055213" w:rsidRDefault="00055213" w:rsidP="00055213">
      <w:pPr>
        <w:pStyle w:val="Body"/>
        <w:rPr>
          <w:rStyle w:val="CommentReference"/>
          <w:sz w:val="24"/>
          <w:szCs w:val="24"/>
        </w:rPr>
      </w:pPr>
      <w:r w:rsidRPr="00A66C83">
        <w:t>The Commissioner is appointed by the Minister for Women</w:t>
      </w:r>
      <w:r>
        <w:t xml:space="preserve">. </w:t>
      </w:r>
      <w:r w:rsidRPr="00A66C83">
        <w:t xml:space="preserve">The Commissioner is </w:t>
      </w:r>
      <w:r>
        <w:t xml:space="preserve">supported </w:t>
      </w:r>
      <w:r w:rsidRPr="00A66C83">
        <w:t>by staff who make up the Commission for Gender Equality in the Public Sector.</w:t>
      </w:r>
    </w:p>
    <w:p w14:paraId="09C93A99" w14:textId="77777777" w:rsidR="00055213" w:rsidRDefault="00055213" w:rsidP="00055213">
      <w:pPr>
        <w:pStyle w:val="Body"/>
      </w:pPr>
      <w:r>
        <w:rPr>
          <w:rStyle w:val="CommentReference"/>
          <w:sz w:val="24"/>
          <w:szCs w:val="24"/>
        </w:rPr>
        <w:t>T</w:t>
      </w:r>
      <w:r w:rsidRPr="00A66C83">
        <w:t>ogether we promote and advance the objectives of the Act.</w:t>
      </w:r>
    </w:p>
    <w:p w14:paraId="07D9A62D" w14:textId="77777777" w:rsidR="00055213" w:rsidRDefault="00055213" w:rsidP="00055213">
      <w:pPr>
        <w:pStyle w:val="Body"/>
      </w:pPr>
      <w:r w:rsidRPr="00A66C83">
        <w:t xml:space="preserve">We exist to ensure </w:t>
      </w:r>
      <w:r>
        <w:t>organisations meet</w:t>
      </w:r>
      <w:r w:rsidRPr="00A66C83">
        <w:t xml:space="preserve"> their obligations</w:t>
      </w:r>
      <w:r>
        <w:t xml:space="preserve"> under the Act</w:t>
      </w:r>
      <w:r w:rsidRPr="00A66C83">
        <w:t>.</w:t>
      </w:r>
      <w:r>
        <w:t xml:space="preserve"> We do this by:</w:t>
      </w:r>
    </w:p>
    <w:p w14:paraId="43C8AE5D" w14:textId="77777777" w:rsidR="00055213" w:rsidRPr="00884851" w:rsidRDefault="00055213" w:rsidP="00055213">
      <w:pPr>
        <w:pStyle w:val="Bullet1"/>
      </w:pPr>
      <w:r w:rsidRPr="00884851">
        <w:t>providing education and support, including guidance materials and other resources to help duty holders comply</w:t>
      </w:r>
    </w:p>
    <w:p w14:paraId="04D61176" w14:textId="77777777" w:rsidR="00055213" w:rsidRPr="00884851" w:rsidRDefault="00055213" w:rsidP="00055213">
      <w:pPr>
        <w:pStyle w:val="Bullet1"/>
      </w:pPr>
      <w:r w:rsidRPr="00884851">
        <w:t>raising awareness about intersectional gender inequality in workplaces and the community</w:t>
      </w:r>
    </w:p>
    <w:p w14:paraId="23689005" w14:textId="77777777" w:rsidR="00055213" w:rsidRPr="00884851" w:rsidRDefault="00055213" w:rsidP="00055213">
      <w:pPr>
        <w:pStyle w:val="Bullet1"/>
      </w:pPr>
      <w:r w:rsidRPr="00884851">
        <w:t>supporting compliance assessments and reporting on gender equality in the public sector</w:t>
      </w:r>
    </w:p>
    <w:p w14:paraId="7D69D379" w14:textId="77777777" w:rsidR="00055213" w:rsidRPr="003736A1" w:rsidRDefault="00055213" w:rsidP="00055213">
      <w:pPr>
        <w:pStyle w:val="Bullet1"/>
      </w:pPr>
      <w:r w:rsidRPr="00884851">
        <w:t xml:space="preserve">investing in gender </w:t>
      </w:r>
      <w:r w:rsidRPr="003736A1">
        <w:t>equality research.</w:t>
      </w:r>
    </w:p>
    <w:p w14:paraId="5FE2C9FB" w14:textId="77777777" w:rsidR="00055213" w:rsidRDefault="00055213" w:rsidP="00055213">
      <w:pPr>
        <w:pStyle w:val="Heading2"/>
      </w:pPr>
      <w:bookmarkStart w:id="7" w:name="_Toc193702990"/>
      <w:r>
        <w:t>The Gender Equality Act 2020</w:t>
      </w:r>
      <w:bookmarkEnd w:id="7"/>
    </w:p>
    <w:p w14:paraId="1A6B9A4C" w14:textId="77777777" w:rsidR="00055213" w:rsidRDefault="00055213" w:rsidP="00055213">
      <w:pPr>
        <w:pStyle w:val="Body"/>
      </w:pPr>
      <w:r w:rsidRPr="0056233E">
        <w:t>The Act aims to</w:t>
      </w:r>
      <w:r>
        <w:t>:</w:t>
      </w:r>
    </w:p>
    <w:p w14:paraId="2D0B0F9B" w14:textId="77777777" w:rsidR="00055213" w:rsidRPr="00884851" w:rsidRDefault="00055213" w:rsidP="00055213">
      <w:pPr>
        <w:pStyle w:val="Bullet1"/>
      </w:pPr>
      <w:r w:rsidRPr="00884851">
        <w:t>promote and support gender equality and improve the status of women</w:t>
      </w:r>
    </w:p>
    <w:p w14:paraId="1C62776A" w14:textId="77777777" w:rsidR="00055213" w:rsidRPr="00884851" w:rsidRDefault="00055213" w:rsidP="00055213">
      <w:pPr>
        <w:pStyle w:val="Bullet1"/>
      </w:pPr>
      <w:r w:rsidRPr="00884851">
        <w:t>remove</w:t>
      </w:r>
      <w:r w:rsidRPr="00A66C83">
        <w:t xml:space="preserve"> systemic causes of gender inequality </w:t>
      </w:r>
      <w:r w:rsidRPr="00884851">
        <w:t xml:space="preserve">in policy, programs and delivery of services in workplaces </w:t>
      </w:r>
      <w:r w:rsidRPr="00A66C83">
        <w:t xml:space="preserve">and </w:t>
      </w:r>
      <w:r w:rsidRPr="00884851">
        <w:t>communities</w:t>
      </w:r>
    </w:p>
    <w:p w14:paraId="088BE9A3" w14:textId="77777777" w:rsidR="00055213" w:rsidRPr="00884851" w:rsidRDefault="00055213" w:rsidP="00055213">
      <w:pPr>
        <w:pStyle w:val="Bullet1"/>
      </w:pPr>
      <w:r w:rsidRPr="00884851">
        <w:t>recognise that gender inequality</w:t>
      </w:r>
      <w:r w:rsidRPr="00A66C83">
        <w:t xml:space="preserve"> can </w:t>
      </w:r>
      <w:r w:rsidRPr="00884851">
        <w:t>be compounded by disadvantage or</w:t>
      </w:r>
      <w:r w:rsidRPr="00A66C83">
        <w:t xml:space="preserve"> discrimination based on other attributes, such as Aboriginality, age, disability, ethnicity, race, religion and sexual orientation</w:t>
      </w:r>
    </w:p>
    <w:p w14:paraId="7A8EDAAB" w14:textId="77777777" w:rsidR="00055213" w:rsidRPr="00884851" w:rsidRDefault="00055213" w:rsidP="00055213">
      <w:pPr>
        <w:pStyle w:val="Bullet1"/>
      </w:pPr>
      <w:r w:rsidRPr="00884851">
        <w:t>address disadvantage, stigma, stereotyping, prejudice and violence through structural change</w:t>
      </w:r>
    </w:p>
    <w:p w14:paraId="5567C4C3" w14:textId="77777777" w:rsidR="00055213" w:rsidRPr="00884851" w:rsidRDefault="00055213" w:rsidP="00055213">
      <w:pPr>
        <w:pStyle w:val="Bullet1"/>
      </w:pPr>
      <w:r w:rsidRPr="00884851">
        <w:t>help people of different genders participate in economic and social activities</w:t>
      </w:r>
    </w:p>
    <w:p w14:paraId="08F44363" w14:textId="77777777" w:rsidR="00055213" w:rsidRPr="0056233E" w:rsidRDefault="00055213" w:rsidP="00055213">
      <w:pPr>
        <w:pStyle w:val="Bullet1"/>
      </w:pPr>
      <w:r w:rsidRPr="00884851">
        <w:t>promote the right to equality</w:t>
      </w:r>
      <w:r>
        <w:t>.</w:t>
      </w:r>
    </w:p>
    <w:p w14:paraId="1DC9D893" w14:textId="77777777" w:rsidR="00055213" w:rsidRPr="00A66C83" w:rsidRDefault="00055213" w:rsidP="00F43A7A">
      <w:pPr>
        <w:pStyle w:val="Bodyafterbullets"/>
      </w:pPr>
      <w:r w:rsidRPr="00A66C83">
        <w:t xml:space="preserve">The Act </w:t>
      </w:r>
      <w:r>
        <w:t>is</w:t>
      </w:r>
      <w:r w:rsidRPr="00A66C83">
        <w:t xml:space="preserve"> a powerful tool and supports the state to lead by example </w:t>
      </w:r>
      <w:r>
        <w:t xml:space="preserve">in </w:t>
      </w:r>
      <w:r w:rsidRPr="00A66C83">
        <w:t>advanc</w:t>
      </w:r>
      <w:r>
        <w:t>ing</w:t>
      </w:r>
      <w:r w:rsidRPr="00A66C83">
        <w:t xml:space="preserve"> strong gender equality reforms.</w:t>
      </w:r>
    </w:p>
    <w:p w14:paraId="63864E4D" w14:textId="77777777" w:rsidR="00055213" w:rsidRPr="00A66C83" w:rsidRDefault="00055213" w:rsidP="00055213">
      <w:pPr>
        <w:pStyle w:val="Body"/>
      </w:pPr>
      <w:r w:rsidRPr="004C06B6">
        <w:t>Progress towards gender equality makes our communities fairer. It leads to significant social and economic benefits and ensures public sector efforts meet the needs of people of all genders. By targeting the drivers of gender inequality, the Act ensures more Victorians can enjoy equal opportunities, responsibilities and outcomes free of stigma, stereotyping, prejudice and violence.</w:t>
      </w:r>
    </w:p>
    <w:p w14:paraId="3276C414" w14:textId="77777777" w:rsidR="00055213" w:rsidRPr="00D51855" w:rsidRDefault="00055213" w:rsidP="00055213">
      <w:pPr>
        <w:pStyle w:val="Heading1"/>
      </w:pPr>
      <w:bookmarkStart w:id="8" w:name="_Toc193702991"/>
      <w:r w:rsidRPr="00D51855">
        <w:t>Who we regulate</w:t>
      </w:r>
      <w:bookmarkEnd w:id="8"/>
    </w:p>
    <w:p w14:paraId="114D0085" w14:textId="77777777" w:rsidR="00055213" w:rsidRPr="00A66C83" w:rsidRDefault="00055213" w:rsidP="00055213">
      <w:pPr>
        <w:pStyle w:val="Body"/>
      </w:pPr>
      <w:r>
        <w:t xml:space="preserve">The Act applies to certain public sector organisations with </w:t>
      </w:r>
      <w:r w:rsidRPr="00A66C83">
        <w:t>50 or more employees. Currently, there are around 300 duty holders</w:t>
      </w:r>
      <w:r>
        <w:t>, making up 12% of the Victorian workforce</w:t>
      </w:r>
      <w:r w:rsidRPr="00A66C83">
        <w:t>.</w:t>
      </w:r>
    </w:p>
    <w:p w14:paraId="5219AC35" w14:textId="77777777" w:rsidR="00055213" w:rsidRPr="00A66C83" w:rsidRDefault="00055213" w:rsidP="00055213">
      <w:pPr>
        <w:pStyle w:val="Body"/>
      </w:pPr>
      <w:r w:rsidRPr="00A66C83">
        <w:lastRenderedPageBreak/>
        <w:t xml:space="preserve">We communicate with the head of organisation, governing body (board chair), and any other nominated </w:t>
      </w:r>
      <w:r>
        <w:t>people</w:t>
      </w:r>
      <w:r w:rsidRPr="00A66C83">
        <w:t>, so that senior leaders are accountable for their obligations under the Act.</w:t>
      </w:r>
    </w:p>
    <w:p w14:paraId="3DF04871" w14:textId="77777777" w:rsidR="00055213" w:rsidRPr="00D51855" w:rsidRDefault="00055213" w:rsidP="00055213">
      <w:pPr>
        <w:pStyle w:val="Heading1"/>
      </w:pPr>
      <w:bookmarkStart w:id="9" w:name="_Toc188276056"/>
      <w:bookmarkStart w:id="10" w:name="_Toc192071628"/>
      <w:bookmarkStart w:id="11" w:name="_Toc193702992"/>
      <w:r w:rsidRPr="00D51855">
        <w:t>What we regulate</w:t>
      </w:r>
      <w:bookmarkEnd w:id="9"/>
      <w:bookmarkEnd w:id="10"/>
      <w:bookmarkEnd w:id="11"/>
    </w:p>
    <w:p w14:paraId="4617F310" w14:textId="77777777" w:rsidR="00055213" w:rsidRDefault="00055213" w:rsidP="00055213">
      <w:pPr>
        <w:pStyle w:val="Body"/>
      </w:pPr>
      <w:r w:rsidRPr="00A66C83">
        <w:t xml:space="preserve">The </w:t>
      </w:r>
      <w:r>
        <w:t>Commissioner</w:t>
      </w:r>
      <w:r w:rsidRPr="00A66C83">
        <w:t xml:space="preserve"> regulates </w:t>
      </w:r>
      <w:r>
        <w:t>duty holders (</w:t>
      </w:r>
      <w:r w:rsidRPr="00A66C83">
        <w:t>Victorian public sector, local councils and universities) to</w:t>
      </w:r>
      <w:r>
        <w:t>:</w:t>
      </w:r>
    </w:p>
    <w:p w14:paraId="1FD488C0" w14:textId="77777777" w:rsidR="00055213" w:rsidRDefault="00055213" w:rsidP="00055213">
      <w:pPr>
        <w:pStyle w:val="Bullet1"/>
      </w:pPr>
      <w:proofErr w:type="gramStart"/>
      <w:r>
        <w:t>take action</w:t>
      </w:r>
      <w:proofErr w:type="gramEnd"/>
      <w:r>
        <w:t xml:space="preserve"> towards </w:t>
      </w:r>
      <w:r w:rsidRPr="00AF29AF">
        <w:t>achiev</w:t>
      </w:r>
      <w:r>
        <w:t>ing workplace</w:t>
      </w:r>
      <w:r w:rsidRPr="00AF29AF">
        <w:t xml:space="preserve"> gender equality</w:t>
      </w:r>
    </w:p>
    <w:p w14:paraId="378F02B8" w14:textId="77777777" w:rsidR="00055213" w:rsidRPr="00AF29AF" w:rsidRDefault="00055213" w:rsidP="00055213">
      <w:pPr>
        <w:pStyle w:val="Bullet1"/>
      </w:pPr>
      <w:r>
        <w:t>consider and promote gender equity in their policies, programs and services</w:t>
      </w:r>
      <w:r w:rsidRPr="00AF29AF">
        <w:t>.</w:t>
      </w:r>
    </w:p>
    <w:p w14:paraId="046825F0" w14:textId="77777777" w:rsidR="00055213" w:rsidRPr="004C537C" w:rsidRDefault="00055213" w:rsidP="00F43A7A">
      <w:pPr>
        <w:pStyle w:val="Bodyafterbullets"/>
        <w:rPr>
          <w:rStyle w:val="CommentReference"/>
          <w:sz w:val="24"/>
          <w:szCs w:val="24"/>
        </w:rPr>
      </w:pPr>
      <w:bookmarkStart w:id="12" w:name="_Toc192071627"/>
      <w:bookmarkStart w:id="13" w:name="_Toc188276055"/>
      <w:r w:rsidRPr="004C537C">
        <w:t>We support duty holders to understand their obligations and voluntarily comply with them</w:t>
      </w:r>
      <w:r w:rsidRPr="004C537C">
        <w:rPr>
          <w:rStyle w:val="CommentReference"/>
          <w:sz w:val="24"/>
          <w:szCs w:val="24"/>
        </w:rPr>
        <w:t>.</w:t>
      </w:r>
    </w:p>
    <w:p w14:paraId="2A841A8A" w14:textId="77777777" w:rsidR="00055213" w:rsidRPr="00CF5387" w:rsidRDefault="00055213" w:rsidP="00055213">
      <w:pPr>
        <w:pStyle w:val="Body"/>
      </w:pPr>
      <w:r w:rsidRPr="00CF5387">
        <w:t xml:space="preserve">Our primary </w:t>
      </w:r>
      <w:r>
        <w:t>functions are:</w:t>
      </w:r>
    </w:p>
    <w:p w14:paraId="28FAFC5F" w14:textId="77777777" w:rsidR="00055213" w:rsidRPr="00A66C83" w:rsidRDefault="00055213" w:rsidP="00055213">
      <w:pPr>
        <w:pStyle w:val="Bullet1"/>
      </w:pPr>
      <w:r>
        <w:t>monitoring and s</w:t>
      </w:r>
      <w:r w:rsidRPr="00A66C83">
        <w:t>upport</w:t>
      </w:r>
      <w:r>
        <w:t>ing</w:t>
      </w:r>
      <w:r w:rsidRPr="00A66C83">
        <w:t xml:space="preserve"> duty holders to comply with the Act</w:t>
      </w:r>
    </w:p>
    <w:p w14:paraId="3FB092FE" w14:textId="7679E5DE" w:rsidR="00055213" w:rsidRDefault="00055213" w:rsidP="00055213">
      <w:pPr>
        <w:pStyle w:val="Bullet1"/>
      </w:pPr>
      <w:r>
        <w:t xml:space="preserve">reviewing, assessing and publishing </w:t>
      </w:r>
      <w:r>
        <w:rPr>
          <w:b/>
          <w:bCs/>
        </w:rPr>
        <w:t>g</w:t>
      </w:r>
      <w:r w:rsidRPr="00513DC1">
        <w:rPr>
          <w:b/>
          <w:bCs/>
        </w:rPr>
        <w:t xml:space="preserve">ender </w:t>
      </w:r>
      <w:r>
        <w:rPr>
          <w:b/>
          <w:bCs/>
        </w:rPr>
        <w:t>e</w:t>
      </w:r>
      <w:r w:rsidRPr="00513DC1">
        <w:rPr>
          <w:b/>
          <w:bCs/>
        </w:rPr>
        <w:t xml:space="preserve">quality </w:t>
      </w:r>
      <w:r>
        <w:rPr>
          <w:b/>
          <w:bCs/>
        </w:rPr>
        <w:t>a</w:t>
      </w:r>
      <w:r w:rsidRPr="00513DC1">
        <w:rPr>
          <w:b/>
          <w:bCs/>
        </w:rPr>
        <w:t xml:space="preserve">ction </w:t>
      </w:r>
      <w:r>
        <w:rPr>
          <w:b/>
          <w:bCs/>
        </w:rPr>
        <w:t>p</w:t>
      </w:r>
      <w:r w:rsidRPr="00513DC1">
        <w:rPr>
          <w:b/>
          <w:bCs/>
        </w:rPr>
        <w:t>lans</w:t>
      </w:r>
      <w:r w:rsidRPr="00A66C83">
        <w:t xml:space="preserve"> (GEAPs) </w:t>
      </w:r>
    </w:p>
    <w:p w14:paraId="7403E2E0" w14:textId="77777777" w:rsidR="00055213" w:rsidRPr="00A66C83" w:rsidRDefault="00055213" w:rsidP="00055213">
      <w:pPr>
        <w:pStyle w:val="Bullet1"/>
      </w:pPr>
      <w:r>
        <w:t>reviewing, assessing and publishing</w:t>
      </w:r>
      <w:r w:rsidRPr="00A66C83">
        <w:t xml:space="preserve"> the results of </w:t>
      </w:r>
      <w:r w:rsidRPr="00513DC1">
        <w:rPr>
          <w:b/>
          <w:bCs/>
        </w:rPr>
        <w:t>workplace gender audits</w:t>
      </w:r>
      <w:r w:rsidRPr="00A66C83">
        <w:t xml:space="preserve"> (WGAs)</w:t>
      </w:r>
    </w:p>
    <w:p w14:paraId="5423ABF3" w14:textId="4E9F1FA2" w:rsidR="00055213" w:rsidRPr="00A66C83" w:rsidRDefault="00055213" w:rsidP="00055213">
      <w:pPr>
        <w:pStyle w:val="Bullet1"/>
      </w:pPr>
      <w:r>
        <w:t>p</w:t>
      </w:r>
      <w:r w:rsidRPr="00A66C83">
        <w:t xml:space="preserve">rovide guidance on </w:t>
      </w:r>
      <w:r>
        <w:rPr>
          <w:b/>
          <w:bCs/>
        </w:rPr>
        <w:t>g</w:t>
      </w:r>
      <w:r w:rsidRPr="00513DC1">
        <w:rPr>
          <w:b/>
          <w:bCs/>
        </w:rPr>
        <w:t xml:space="preserve">ender </w:t>
      </w:r>
      <w:r>
        <w:rPr>
          <w:b/>
          <w:bCs/>
        </w:rPr>
        <w:t>i</w:t>
      </w:r>
      <w:r w:rsidRPr="00513DC1">
        <w:rPr>
          <w:b/>
          <w:bCs/>
        </w:rPr>
        <w:t xml:space="preserve">mpact </w:t>
      </w:r>
      <w:r>
        <w:rPr>
          <w:b/>
          <w:bCs/>
        </w:rPr>
        <w:t>a</w:t>
      </w:r>
      <w:r w:rsidRPr="00513DC1">
        <w:rPr>
          <w:b/>
          <w:bCs/>
        </w:rPr>
        <w:t>ssessments</w:t>
      </w:r>
      <w:r w:rsidRPr="00A66C83">
        <w:t xml:space="preserve"> (GIAs)</w:t>
      </w:r>
    </w:p>
    <w:p w14:paraId="77887DCA" w14:textId="77777777" w:rsidR="00055213" w:rsidRDefault="00055213" w:rsidP="00055213">
      <w:pPr>
        <w:pStyle w:val="Bullet1"/>
      </w:pPr>
      <w:r>
        <w:t xml:space="preserve">reviewing and assessing </w:t>
      </w:r>
      <w:r w:rsidRPr="00294949">
        <w:rPr>
          <w:b/>
        </w:rPr>
        <w:t>progress reports</w:t>
      </w:r>
    </w:p>
    <w:p w14:paraId="4A4E9988" w14:textId="77777777" w:rsidR="00055213" w:rsidRPr="004C537C" w:rsidRDefault="00055213" w:rsidP="00055213">
      <w:pPr>
        <w:pStyle w:val="Bullet1"/>
      </w:pPr>
      <w:r>
        <w:t xml:space="preserve">resolving </w:t>
      </w:r>
      <w:r w:rsidRPr="004C537C">
        <w:t>workplace disputes relating to systemic gender equality issues</w:t>
      </w:r>
      <w:r>
        <w:t>.</w:t>
      </w:r>
    </w:p>
    <w:p w14:paraId="4464C6A8" w14:textId="77777777" w:rsidR="00055213" w:rsidRPr="00A66C83" w:rsidRDefault="00055213" w:rsidP="00F43A7A">
      <w:pPr>
        <w:pStyle w:val="Bodyafterbullets"/>
      </w:pPr>
      <w:r w:rsidRPr="00A66C83">
        <w:t>The Commissioner’s regulatory function is unique because it reach</w:t>
      </w:r>
      <w:r>
        <w:t>es</w:t>
      </w:r>
      <w:r w:rsidRPr="00A66C83">
        <w:t xml:space="preserve"> beyond workplaces, regulating the work that duty holders deliver for the community. Through GIAs, duty holders are required to apply a gendered lens to policy, programs and services that have a direct and significant impact on the community.</w:t>
      </w:r>
    </w:p>
    <w:p w14:paraId="6925E31C" w14:textId="77777777" w:rsidR="00055213" w:rsidRPr="00D51855" w:rsidRDefault="00055213" w:rsidP="00055213">
      <w:pPr>
        <w:pStyle w:val="Heading2"/>
      </w:pPr>
      <w:bookmarkStart w:id="14" w:name="_Toc188276058"/>
      <w:bookmarkStart w:id="15" w:name="_Toc192071630"/>
      <w:bookmarkStart w:id="16" w:name="_Toc193702993"/>
      <w:bookmarkEnd w:id="12"/>
      <w:bookmarkEnd w:id="13"/>
      <w:r w:rsidRPr="00D51855">
        <w:t>Our co-regulators</w:t>
      </w:r>
      <w:bookmarkEnd w:id="14"/>
      <w:bookmarkEnd w:id="15"/>
      <w:r w:rsidRPr="00D51855">
        <w:t xml:space="preserve"> </w:t>
      </w:r>
      <w:bookmarkEnd w:id="16"/>
    </w:p>
    <w:p w14:paraId="6D869F55" w14:textId="77777777" w:rsidR="00055213" w:rsidRPr="00A66C83" w:rsidRDefault="00055213" w:rsidP="00055213">
      <w:pPr>
        <w:pStyle w:val="Body"/>
      </w:pPr>
      <w:r w:rsidRPr="00A66C83">
        <w:t>We work with entities that have complementary regulatory roles</w:t>
      </w:r>
      <w:r>
        <w:t>. We share</w:t>
      </w:r>
      <w:r w:rsidRPr="00A66C83">
        <w:t xml:space="preserve"> information </w:t>
      </w:r>
      <w:r>
        <w:t xml:space="preserve">(including data collected under the Act </w:t>
      </w:r>
      <w:r w:rsidRPr="00A66C83">
        <w:t>where appropriate and permissible</w:t>
      </w:r>
      <w:r>
        <w:t>)</w:t>
      </w:r>
      <w:r w:rsidRPr="00A66C83">
        <w:t xml:space="preserve"> and collaborat</w:t>
      </w:r>
      <w:r>
        <w:t>e</w:t>
      </w:r>
      <w:r w:rsidRPr="00A66C83">
        <w:t xml:space="preserve"> on research and resources.</w:t>
      </w:r>
    </w:p>
    <w:p w14:paraId="609B6AE0" w14:textId="77777777" w:rsidR="00055213" w:rsidRPr="00A66C83" w:rsidRDefault="00055213" w:rsidP="00055213">
      <w:pPr>
        <w:pStyle w:val="Body"/>
      </w:pPr>
      <w:r>
        <w:t>Working with co-regulators expands our influence. Co-regulators can use information that we collect under the Act to inform their practice. This activity delivers on the positive duty in the Act to promote gender equality.</w:t>
      </w:r>
    </w:p>
    <w:p w14:paraId="455FFBE6" w14:textId="77777777" w:rsidR="00055213" w:rsidRPr="00A66C83" w:rsidRDefault="00055213" w:rsidP="00055213">
      <w:pPr>
        <w:pStyle w:val="Body"/>
      </w:pPr>
      <w:r>
        <w:t>Partners</w:t>
      </w:r>
      <w:r w:rsidRPr="00A66C83">
        <w:t xml:space="preserve"> include </w:t>
      </w:r>
      <w:r>
        <w:t>the</w:t>
      </w:r>
      <w:r w:rsidRPr="00A66C83">
        <w:t xml:space="preserve"> Victorian Equal </w:t>
      </w:r>
      <w:r w:rsidRPr="2DFD98EC">
        <w:t>Opportunity</w:t>
      </w:r>
      <w:r w:rsidRPr="00A66C83">
        <w:t xml:space="preserve"> and Human Rights Commission, </w:t>
      </w:r>
      <w:r>
        <w:t>the</w:t>
      </w:r>
      <w:r w:rsidRPr="00A66C83">
        <w:t xml:space="preserve"> Victorian Public </w:t>
      </w:r>
      <w:r w:rsidRPr="2DFD98EC">
        <w:t>Sector</w:t>
      </w:r>
      <w:r w:rsidRPr="00A66C83">
        <w:t xml:space="preserve"> Commission, </w:t>
      </w:r>
      <w:r>
        <w:t>Local Government Victoria</w:t>
      </w:r>
      <w:r w:rsidRPr="00A66C83">
        <w:t xml:space="preserve"> and the Workplace Gender Equality Agency.</w:t>
      </w:r>
    </w:p>
    <w:p w14:paraId="0E4F8F4F" w14:textId="77777777" w:rsidR="00055213" w:rsidRPr="00A66C83" w:rsidRDefault="00055213" w:rsidP="00055213">
      <w:pPr>
        <w:pStyle w:val="Body"/>
      </w:pPr>
      <w:r>
        <w:t>Some</w:t>
      </w:r>
      <w:r w:rsidRPr="00A66C83">
        <w:t xml:space="preserve"> Victorian co-regulators are also duty holders under the Act. To manage this, we have processes in place to mitigate any real or perceived conflicts of interest. This includes being clear about the purpose of each engagement with our co-regulators.</w:t>
      </w:r>
      <w:bookmarkStart w:id="17" w:name="_Toc188276059"/>
    </w:p>
    <w:p w14:paraId="1D397AA1" w14:textId="77777777" w:rsidR="00055213" w:rsidRPr="0062733B" w:rsidRDefault="00055213" w:rsidP="00055213">
      <w:pPr>
        <w:pStyle w:val="Heading1"/>
      </w:pPr>
      <w:bookmarkStart w:id="18" w:name="_Toc192071631"/>
      <w:bookmarkStart w:id="19" w:name="_Toc193702994"/>
      <w:r w:rsidRPr="0062733B">
        <w:t>Our regulatory approach</w:t>
      </w:r>
      <w:bookmarkEnd w:id="18"/>
      <w:bookmarkEnd w:id="19"/>
    </w:p>
    <w:p w14:paraId="41223D6B" w14:textId="77777777" w:rsidR="00055213" w:rsidRPr="0062733B" w:rsidRDefault="00055213" w:rsidP="00055213">
      <w:pPr>
        <w:pStyle w:val="Body"/>
      </w:pPr>
      <w:r w:rsidRPr="0062733B">
        <w:t>Our regulatory approach uses guidance, education, and deterrence to motivate action and improve intersectional gender equality.</w:t>
      </w:r>
    </w:p>
    <w:p w14:paraId="599AFDEC" w14:textId="77777777" w:rsidR="00055213" w:rsidRPr="0062733B" w:rsidRDefault="00055213" w:rsidP="00055213">
      <w:pPr>
        <w:pStyle w:val="Body"/>
      </w:pPr>
      <w:r w:rsidRPr="0062733B">
        <w:t>We apply a risk-based approach to prioritising and directing effort to where it will make the biggest difference.</w:t>
      </w:r>
    </w:p>
    <w:p w14:paraId="2A0C2E96" w14:textId="77777777" w:rsidR="00055213" w:rsidRDefault="00055213" w:rsidP="00055213">
      <w:pPr>
        <w:pStyle w:val="Body"/>
      </w:pPr>
      <w:r>
        <w:lastRenderedPageBreak/>
        <w:t xml:space="preserve">The Commissioner’s regulatory responsibilities are determined by the legislation they administer. </w:t>
      </w:r>
      <w:r w:rsidRPr="0062733B">
        <w:t>The Commissioner</w:t>
      </w:r>
      <w:r>
        <w:t xml:space="preserve"> and their</w:t>
      </w:r>
      <w:r w:rsidRPr="0062733B">
        <w:t xml:space="preserve"> staff strive to be a consistent, responsive and trusted regulator that acts proportionately.</w:t>
      </w:r>
    </w:p>
    <w:p w14:paraId="306400E4" w14:textId="77777777" w:rsidR="00055213" w:rsidRPr="0062733B" w:rsidRDefault="00055213" w:rsidP="00055213">
      <w:pPr>
        <w:pStyle w:val="Body"/>
      </w:pPr>
      <w:r w:rsidRPr="0062733B">
        <w:t>We work with duty holders to improve gender equality in public sector workplaces and to eliminate systemic causes of gender inequality in policy programs and services delivered to the community.</w:t>
      </w:r>
    </w:p>
    <w:p w14:paraId="078300D9" w14:textId="77777777" w:rsidR="00055213" w:rsidRPr="0062733B" w:rsidRDefault="00055213" w:rsidP="00055213">
      <w:pPr>
        <w:pStyle w:val="Body"/>
      </w:pPr>
      <w:r>
        <w:t xml:space="preserve">The regulatory approach aims to be evidence-led, risk-based and transparent. </w:t>
      </w:r>
      <w:r w:rsidRPr="0062733B">
        <w:t xml:space="preserve">We are committed to reducing barriers to compliance and regulatory duplication and burden. </w:t>
      </w:r>
      <w:r>
        <w:t>W</w:t>
      </w:r>
      <w:r w:rsidRPr="0062733B">
        <w:t>e will use the full range of regulatory tools available to encourage voluntary compliance and reduce the harm caused by gender inequality.</w:t>
      </w:r>
    </w:p>
    <w:p w14:paraId="47C44C63" w14:textId="77777777" w:rsidR="00055213" w:rsidRPr="00B8233B" w:rsidRDefault="00055213" w:rsidP="00055213">
      <w:pPr>
        <w:pStyle w:val="Body"/>
      </w:pPr>
      <w:r w:rsidRPr="00B8233B">
        <w:t xml:space="preserve">Tools include providing guidance and advice, data analysis, compliance monitoring and reporting. </w:t>
      </w:r>
    </w:p>
    <w:p w14:paraId="50B35DB6" w14:textId="77777777" w:rsidR="00055213" w:rsidRPr="00D51855" w:rsidRDefault="00055213" w:rsidP="00055213">
      <w:pPr>
        <w:pStyle w:val="Heading2"/>
      </w:pPr>
      <w:bookmarkStart w:id="20" w:name="_Toc188276063"/>
      <w:bookmarkStart w:id="21" w:name="_Toc192071632"/>
      <w:bookmarkStart w:id="22" w:name="_Toc193702995"/>
      <w:bookmarkEnd w:id="17"/>
      <w:r>
        <w:t>R</w:t>
      </w:r>
      <w:r w:rsidRPr="00414AD7">
        <w:t>egulatory principles</w:t>
      </w:r>
      <w:bookmarkEnd w:id="20"/>
      <w:bookmarkEnd w:id="21"/>
      <w:bookmarkEnd w:id="22"/>
    </w:p>
    <w:p w14:paraId="0C1EF09A" w14:textId="77777777" w:rsidR="00055213" w:rsidRPr="00A66C83" w:rsidRDefault="00055213" w:rsidP="00055213">
      <w:pPr>
        <w:pStyle w:val="Body"/>
      </w:pPr>
      <w:r w:rsidRPr="00A66C83">
        <w:t>These principles inform our regulatory approach.</w:t>
      </w:r>
    </w:p>
    <w:tbl>
      <w:tblPr>
        <w:tblStyle w:val="TableGrid"/>
        <w:tblW w:w="0" w:type="auto"/>
        <w:tblLook w:val="04A0" w:firstRow="1" w:lastRow="0" w:firstColumn="1" w:lastColumn="0" w:noHBand="0" w:noVBand="1"/>
      </w:tblPr>
      <w:tblGrid>
        <w:gridCol w:w="1838"/>
        <w:gridCol w:w="7178"/>
      </w:tblGrid>
      <w:tr w:rsidR="00055213" w:rsidRPr="00A66C83" w14:paraId="071E2512" w14:textId="77777777" w:rsidTr="00F96CFB">
        <w:trPr>
          <w:tblHeader/>
        </w:trPr>
        <w:tc>
          <w:tcPr>
            <w:tcW w:w="1838" w:type="dxa"/>
            <w:shd w:val="clear" w:color="auto" w:fill="auto"/>
          </w:tcPr>
          <w:p w14:paraId="1A01037D" w14:textId="77777777" w:rsidR="00055213" w:rsidRPr="009453D5" w:rsidRDefault="00055213" w:rsidP="00F96CFB">
            <w:pPr>
              <w:pStyle w:val="Tablecolhead"/>
            </w:pPr>
            <w:r w:rsidRPr="009453D5">
              <w:t>Principle</w:t>
            </w:r>
          </w:p>
        </w:tc>
        <w:tc>
          <w:tcPr>
            <w:tcW w:w="7178" w:type="dxa"/>
            <w:shd w:val="clear" w:color="auto" w:fill="auto"/>
          </w:tcPr>
          <w:p w14:paraId="33EF8716" w14:textId="77777777" w:rsidR="00055213" w:rsidRPr="009453D5" w:rsidRDefault="00055213" w:rsidP="00F96CFB">
            <w:pPr>
              <w:pStyle w:val="Tablecolhead"/>
            </w:pPr>
            <w:r w:rsidRPr="009453D5">
              <w:t xml:space="preserve">Our commitments </w:t>
            </w:r>
          </w:p>
        </w:tc>
      </w:tr>
      <w:tr w:rsidR="00055213" w:rsidRPr="00A66C83" w14:paraId="021BCAAA" w14:textId="77777777" w:rsidTr="000C0D57">
        <w:tc>
          <w:tcPr>
            <w:tcW w:w="1838" w:type="dxa"/>
          </w:tcPr>
          <w:p w14:paraId="2A80E15B" w14:textId="77777777" w:rsidR="00055213" w:rsidRPr="00D607CA" w:rsidRDefault="00055213" w:rsidP="00F96CFB">
            <w:pPr>
              <w:pStyle w:val="Tabletext"/>
              <w:rPr>
                <w:b/>
                <w:bCs/>
              </w:rPr>
            </w:pPr>
            <w:r w:rsidRPr="00D607CA">
              <w:rPr>
                <w:b/>
                <w:bCs/>
              </w:rPr>
              <w:t xml:space="preserve">Effective </w:t>
            </w:r>
          </w:p>
        </w:tc>
        <w:tc>
          <w:tcPr>
            <w:tcW w:w="7178" w:type="dxa"/>
          </w:tcPr>
          <w:p w14:paraId="2D523448" w14:textId="77777777" w:rsidR="00055213" w:rsidRPr="009453D5" w:rsidRDefault="00055213" w:rsidP="00F96CFB">
            <w:pPr>
              <w:pStyle w:val="Tablebullet1"/>
            </w:pPr>
            <w:r w:rsidRPr="009453D5">
              <w:t xml:space="preserve">We </w:t>
            </w:r>
            <w:r>
              <w:t>assess risk</w:t>
            </w:r>
            <w:r w:rsidRPr="009453D5">
              <w:t xml:space="preserve"> and allocate resources where they have the greatest impact on </w:t>
            </w:r>
            <w:r>
              <w:t>eliminating</w:t>
            </w:r>
            <w:r w:rsidRPr="009453D5">
              <w:t xml:space="preserve"> intersectional gender inequality</w:t>
            </w:r>
            <w:r>
              <w:t>.</w:t>
            </w:r>
          </w:p>
          <w:p w14:paraId="45AC67ED" w14:textId="77777777" w:rsidR="00055213" w:rsidRPr="009453D5" w:rsidRDefault="00055213" w:rsidP="00F96CFB">
            <w:pPr>
              <w:pStyle w:val="Tablebullet1"/>
            </w:pPr>
            <w:r w:rsidRPr="009453D5">
              <w:t xml:space="preserve">We </w:t>
            </w:r>
            <w:r>
              <w:t xml:space="preserve">support </w:t>
            </w:r>
            <w:r w:rsidRPr="009453D5">
              <w:t xml:space="preserve">duty holders with </w:t>
            </w:r>
            <w:r>
              <w:t>resources</w:t>
            </w:r>
            <w:r w:rsidRPr="009453D5">
              <w:t xml:space="preserve"> that </w:t>
            </w:r>
            <w:r>
              <w:t>are</w:t>
            </w:r>
            <w:r w:rsidRPr="009453D5">
              <w:t xml:space="preserve"> effective in helping them eliminate systemic gender inequality</w:t>
            </w:r>
            <w:r>
              <w:t>.</w:t>
            </w:r>
          </w:p>
        </w:tc>
      </w:tr>
      <w:tr w:rsidR="00055213" w:rsidRPr="00A66C83" w14:paraId="38C49C4A" w14:textId="77777777" w:rsidTr="000C0D57">
        <w:tc>
          <w:tcPr>
            <w:tcW w:w="1838" w:type="dxa"/>
          </w:tcPr>
          <w:p w14:paraId="7F3A8DE2" w14:textId="77777777" w:rsidR="00055213" w:rsidRPr="00D607CA" w:rsidRDefault="00055213" w:rsidP="00F96CFB">
            <w:pPr>
              <w:pStyle w:val="Tabletext"/>
              <w:rPr>
                <w:b/>
                <w:bCs/>
              </w:rPr>
            </w:pPr>
            <w:r w:rsidRPr="00D607CA">
              <w:rPr>
                <w:b/>
                <w:bCs/>
              </w:rPr>
              <w:t xml:space="preserve">Proportional </w:t>
            </w:r>
          </w:p>
        </w:tc>
        <w:tc>
          <w:tcPr>
            <w:tcW w:w="7178" w:type="dxa"/>
          </w:tcPr>
          <w:p w14:paraId="046204CE" w14:textId="77777777" w:rsidR="00055213" w:rsidRPr="009453D5" w:rsidRDefault="00055213" w:rsidP="00F96CFB">
            <w:pPr>
              <w:pStyle w:val="Tablebullet1"/>
            </w:pPr>
            <w:r w:rsidRPr="009453D5">
              <w:t>We take regulatory action that is proportionate to the risk and consider the behaviour and response of the duty holder</w:t>
            </w:r>
            <w:r>
              <w:t>.</w:t>
            </w:r>
          </w:p>
          <w:p w14:paraId="3F5EF408" w14:textId="77777777" w:rsidR="00055213" w:rsidRPr="009453D5" w:rsidRDefault="00055213" w:rsidP="00F96CFB">
            <w:pPr>
              <w:pStyle w:val="Tablebullet1"/>
            </w:pPr>
            <w:r w:rsidRPr="009453D5">
              <w:t xml:space="preserve">We take regulatory action that is proportionate to the size and capacity of a </w:t>
            </w:r>
            <w:r>
              <w:t>duty holder.</w:t>
            </w:r>
          </w:p>
        </w:tc>
      </w:tr>
      <w:tr w:rsidR="00055213" w:rsidRPr="00A66C83" w14:paraId="4CBD90BB" w14:textId="77777777" w:rsidTr="000C0D57">
        <w:tc>
          <w:tcPr>
            <w:tcW w:w="1838" w:type="dxa"/>
          </w:tcPr>
          <w:p w14:paraId="69ACA45D" w14:textId="77777777" w:rsidR="00055213" w:rsidRPr="00D607CA" w:rsidRDefault="00055213" w:rsidP="00F96CFB">
            <w:pPr>
              <w:pStyle w:val="Tabletext"/>
              <w:rPr>
                <w:b/>
                <w:bCs/>
              </w:rPr>
            </w:pPr>
            <w:r w:rsidRPr="00D607CA">
              <w:rPr>
                <w:rFonts w:cs="VIC-SemiBold"/>
                <w:b/>
                <w:bCs/>
                <w:color w:val="040040"/>
              </w:rPr>
              <w:t>Accountable</w:t>
            </w:r>
          </w:p>
        </w:tc>
        <w:tc>
          <w:tcPr>
            <w:tcW w:w="7178" w:type="dxa"/>
          </w:tcPr>
          <w:p w14:paraId="1F2A69B1" w14:textId="77777777" w:rsidR="00055213" w:rsidRPr="009453D5" w:rsidRDefault="00055213" w:rsidP="00F96CFB">
            <w:pPr>
              <w:pStyle w:val="Tablebullet1"/>
            </w:pPr>
            <w:r w:rsidRPr="009453D5">
              <w:t xml:space="preserve">We are transparent, objective and open in our decision making and </w:t>
            </w:r>
            <w:r>
              <w:t xml:space="preserve">clearly </w:t>
            </w:r>
            <w:r w:rsidRPr="009453D5">
              <w:t>set expectations</w:t>
            </w:r>
            <w:r>
              <w:t>.</w:t>
            </w:r>
          </w:p>
          <w:p w14:paraId="39255FFA" w14:textId="77777777" w:rsidR="00055213" w:rsidRPr="009453D5" w:rsidRDefault="00055213" w:rsidP="00F96CFB">
            <w:pPr>
              <w:pStyle w:val="Tablebullet1"/>
            </w:pPr>
            <w:r w:rsidRPr="009453D5">
              <w:t xml:space="preserve">We evaluate </w:t>
            </w:r>
            <w:r>
              <w:t xml:space="preserve">and continually improve </w:t>
            </w:r>
            <w:r w:rsidRPr="009453D5">
              <w:t>our practices and publicly report on our regulatory approach</w:t>
            </w:r>
            <w:r>
              <w:t>.</w:t>
            </w:r>
          </w:p>
          <w:p w14:paraId="69DFC7E5" w14:textId="77777777" w:rsidR="00055213" w:rsidRPr="009453D5" w:rsidRDefault="00055213" w:rsidP="00F96CFB">
            <w:pPr>
              <w:pStyle w:val="Tablebullet1"/>
            </w:pPr>
            <w:r w:rsidRPr="009453D5">
              <w:t>We share information about our compliance processes and provide feedback on compliance</w:t>
            </w:r>
            <w:r>
              <w:t>.</w:t>
            </w:r>
          </w:p>
          <w:p w14:paraId="4904805F" w14:textId="77777777" w:rsidR="00055213" w:rsidRPr="009453D5" w:rsidRDefault="00055213" w:rsidP="00F96CFB">
            <w:pPr>
              <w:pStyle w:val="Tablebullet1"/>
            </w:pPr>
            <w:r w:rsidRPr="009453D5">
              <w:t xml:space="preserve">We strive to be </w:t>
            </w:r>
            <w:r w:rsidRPr="009453D5" w:rsidDel="008032E8">
              <w:t xml:space="preserve">as </w:t>
            </w:r>
            <w:r w:rsidRPr="009453D5">
              <w:t xml:space="preserve">timely and responsive </w:t>
            </w:r>
            <w:r w:rsidRPr="009453D5" w:rsidDel="008032E8">
              <w:t xml:space="preserve">as possible </w:t>
            </w:r>
            <w:r w:rsidRPr="009453D5">
              <w:t>when distributing new guidance and providing feedback on compliance</w:t>
            </w:r>
            <w:r>
              <w:t>.</w:t>
            </w:r>
          </w:p>
        </w:tc>
      </w:tr>
      <w:tr w:rsidR="00055213" w:rsidRPr="00A66C83" w14:paraId="05BB2B81" w14:textId="77777777" w:rsidTr="000C0D57">
        <w:tc>
          <w:tcPr>
            <w:tcW w:w="1838" w:type="dxa"/>
          </w:tcPr>
          <w:p w14:paraId="1F663612" w14:textId="77777777" w:rsidR="00055213" w:rsidRPr="00D607CA" w:rsidRDefault="00055213" w:rsidP="00F96CFB">
            <w:pPr>
              <w:pStyle w:val="Tabletext"/>
              <w:rPr>
                <w:b/>
                <w:bCs/>
              </w:rPr>
            </w:pPr>
            <w:r w:rsidRPr="00D607CA">
              <w:rPr>
                <w:b/>
                <w:bCs/>
              </w:rPr>
              <w:t xml:space="preserve">Inclusive </w:t>
            </w:r>
          </w:p>
        </w:tc>
        <w:tc>
          <w:tcPr>
            <w:tcW w:w="7178" w:type="dxa"/>
          </w:tcPr>
          <w:p w14:paraId="2F3505BD" w14:textId="77777777" w:rsidR="00055213" w:rsidRPr="009453D5" w:rsidRDefault="00055213" w:rsidP="00F96CFB">
            <w:pPr>
              <w:pStyle w:val="Tablebullet1"/>
            </w:pPr>
            <w:r w:rsidRPr="009453D5">
              <w:t>We continue to build the evidence base and provide education on intersectional gender equality</w:t>
            </w:r>
            <w:r>
              <w:t>.</w:t>
            </w:r>
          </w:p>
          <w:p w14:paraId="2029FC27" w14:textId="77777777" w:rsidR="00055213" w:rsidRPr="009453D5" w:rsidRDefault="00055213" w:rsidP="00F96CFB">
            <w:pPr>
              <w:pStyle w:val="Tablebullet1"/>
            </w:pPr>
            <w:r w:rsidRPr="009453D5">
              <w:t>We aim to improve intersectional data collection and support duty holders in achieving this goal</w:t>
            </w:r>
            <w:r>
              <w:t>.</w:t>
            </w:r>
          </w:p>
        </w:tc>
      </w:tr>
      <w:tr w:rsidR="00055213" w:rsidRPr="00A66C83" w14:paraId="303AB002" w14:textId="77777777" w:rsidTr="000C0D57">
        <w:tc>
          <w:tcPr>
            <w:tcW w:w="1838" w:type="dxa"/>
          </w:tcPr>
          <w:p w14:paraId="7880A457" w14:textId="77777777" w:rsidR="00055213" w:rsidRPr="00D607CA" w:rsidRDefault="00055213" w:rsidP="00F96CFB">
            <w:pPr>
              <w:pStyle w:val="Tabletext"/>
              <w:rPr>
                <w:b/>
                <w:bCs/>
              </w:rPr>
            </w:pPr>
            <w:r w:rsidRPr="00D607CA">
              <w:rPr>
                <w:b/>
                <w:bCs/>
              </w:rPr>
              <w:t>Fair</w:t>
            </w:r>
          </w:p>
        </w:tc>
        <w:tc>
          <w:tcPr>
            <w:tcW w:w="7178" w:type="dxa"/>
          </w:tcPr>
          <w:p w14:paraId="7A2D8B72" w14:textId="77777777" w:rsidR="00055213" w:rsidRPr="009453D5" w:rsidRDefault="00055213" w:rsidP="00F96CFB">
            <w:pPr>
              <w:pStyle w:val="Tablebullet1"/>
            </w:pPr>
            <w:r w:rsidRPr="009453D5">
              <w:rPr>
                <w:color w:val="040040"/>
              </w:rPr>
              <w:t xml:space="preserve">We are consistent </w:t>
            </w:r>
            <w:r w:rsidRPr="009453D5">
              <w:t>and predictable in our approach to administering the Act</w:t>
            </w:r>
            <w:r>
              <w:t>.</w:t>
            </w:r>
          </w:p>
          <w:p w14:paraId="404B9FB5" w14:textId="77777777" w:rsidR="00055213" w:rsidRPr="009453D5" w:rsidRDefault="00055213" w:rsidP="00F96CFB">
            <w:pPr>
              <w:pStyle w:val="Tablebullet1"/>
            </w:pPr>
            <w:r w:rsidRPr="009453D5">
              <w:t>When deciding regulatory responses, we ensure the process is fair and consistent</w:t>
            </w:r>
            <w:r>
              <w:t>.</w:t>
            </w:r>
          </w:p>
        </w:tc>
      </w:tr>
    </w:tbl>
    <w:p w14:paraId="567EFA9E" w14:textId="77777777" w:rsidR="00055213" w:rsidRPr="008C11FE" w:rsidRDefault="00055213" w:rsidP="00055213">
      <w:pPr>
        <w:pStyle w:val="Heading2"/>
      </w:pPr>
      <w:bookmarkStart w:id="23" w:name="_Toc188276060"/>
      <w:bookmarkStart w:id="24" w:name="_Toc192071633"/>
      <w:bookmarkStart w:id="25" w:name="_Toc193702996"/>
      <w:bookmarkStart w:id="26" w:name="_Toc188276067"/>
      <w:r>
        <w:lastRenderedPageBreak/>
        <w:t xml:space="preserve">Taking a </w:t>
      </w:r>
      <w:bookmarkEnd w:id="23"/>
      <w:r>
        <w:t>risk-based approach to reducing h</w:t>
      </w:r>
      <w:r w:rsidRPr="008C11FE">
        <w:t>arm</w:t>
      </w:r>
      <w:bookmarkEnd w:id="24"/>
      <w:bookmarkEnd w:id="25"/>
    </w:p>
    <w:p w14:paraId="60615A96" w14:textId="77777777" w:rsidR="00055213" w:rsidRPr="000E713A" w:rsidRDefault="00055213" w:rsidP="00F96CFB">
      <w:pPr>
        <w:pStyle w:val="Body"/>
      </w:pPr>
      <w:r w:rsidRPr="000E713A">
        <w:t xml:space="preserve">In line with </w:t>
      </w:r>
      <w:r w:rsidRPr="000E713A">
        <w:rPr>
          <w:i/>
          <w:iCs/>
        </w:rPr>
        <w:t>Towards best practice guide for regulators,</w:t>
      </w:r>
      <w:r w:rsidRPr="000E713A">
        <w:rPr>
          <w:rStyle w:val="FootnoteReference"/>
          <w:i/>
          <w:iCs/>
          <w:sz w:val="24"/>
          <w:szCs w:val="24"/>
        </w:rPr>
        <w:footnoteReference w:id="2"/>
      </w:r>
      <w:r w:rsidRPr="000E713A">
        <w:t xml:space="preserve"> we focus on managing the risk of gender-based harm</w:t>
      </w:r>
      <w:r>
        <w:t xml:space="preserve"> occurring</w:t>
      </w:r>
      <w:r w:rsidRPr="000E713A">
        <w:t>.</w:t>
      </w:r>
    </w:p>
    <w:p w14:paraId="11DD0882" w14:textId="77777777" w:rsidR="00055213" w:rsidRPr="00A66C83" w:rsidRDefault="00055213" w:rsidP="00F96CFB">
      <w:pPr>
        <w:pStyle w:val="Body"/>
      </w:pPr>
      <w:r w:rsidRPr="00A66C83">
        <w:t xml:space="preserve">A </w:t>
      </w:r>
      <w:r w:rsidRPr="000E713A">
        <w:t xml:space="preserve">risk-based approach </w:t>
      </w:r>
      <w:r w:rsidRPr="00A66C83">
        <w:t xml:space="preserve">involves </w:t>
      </w:r>
      <w:r w:rsidRPr="000E713A">
        <w:t>applying effort</w:t>
      </w:r>
      <w:r w:rsidRPr="00A66C83">
        <w:t xml:space="preserve"> and </w:t>
      </w:r>
      <w:r w:rsidRPr="000E713A">
        <w:t>resources to target</w:t>
      </w:r>
      <w:r w:rsidRPr="00A66C83">
        <w:t xml:space="preserve"> </w:t>
      </w:r>
      <w:r w:rsidRPr="000E713A">
        <w:t>actions and behaviours that present the highest risk of causing gender-based harm.</w:t>
      </w:r>
    </w:p>
    <w:p w14:paraId="679C18CC" w14:textId="77777777" w:rsidR="00055213" w:rsidRDefault="00055213" w:rsidP="00F96CFB">
      <w:pPr>
        <w:pStyle w:val="Body"/>
      </w:pPr>
      <w:r>
        <w:t>This approach allows us to:</w:t>
      </w:r>
    </w:p>
    <w:p w14:paraId="6A704570" w14:textId="77777777" w:rsidR="00055213" w:rsidRDefault="00055213" w:rsidP="00F96CFB">
      <w:pPr>
        <w:pStyle w:val="Bullet1"/>
      </w:pPr>
      <w:r>
        <w:t>make informed decisions about targeting industries and activities of highest risk</w:t>
      </w:r>
    </w:p>
    <w:p w14:paraId="7024D923" w14:textId="77777777" w:rsidR="00055213" w:rsidRDefault="00055213" w:rsidP="00F96CFB">
      <w:pPr>
        <w:pStyle w:val="Bullet1"/>
      </w:pPr>
      <w:r>
        <w:t>monitor regulatory activity to ensure it is contemporary and fit-for-purpose</w:t>
      </w:r>
    </w:p>
    <w:p w14:paraId="50AB12CB" w14:textId="77777777" w:rsidR="00055213" w:rsidRDefault="00055213" w:rsidP="00F96CFB">
      <w:pPr>
        <w:pStyle w:val="Bullet1"/>
      </w:pPr>
      <w:r>
        <w:t>use a range of regulatory tools, proportionate to the risk of gender-based harm identified</w:t>
      </w:r>
    </w:p>
    <w:p w14:paraId="4DFCD1FB" w14:textId="77777777" w:rsidR="00055213" w:rsidRDefault="00055213" w:rsidP="00F96CFB">
      <w:pPr>
        <w:pStyle w:val="Bullet1"/>
      </w:pPr>
      <w:r>
        <w:t>be proactive to solve problems rather than being reactive to non-compliance</w:t>
      </w:r>
    </w:p>
    <w:p w14:paraId="77107B06" w14:textId="77777777" w:rsidR="00055213" w:rsidRDefault="00055213" w:rsidP="00F96CFB">
      <w:pPr>
        <w:pStyle w:val="Bullet1"/>
      </w:pPr>
      <w:r>
        <w:t>scan the environment to observe and respond to new and emerging issues</w:t>
      </w:r>
    </w:p>
    <w:p w14:paraId="4E4C8426" w14:textId="77777777" w:rsidR="00055213" w:rsidRPr="003E3007" w:rsidRDefault="00055213" w:rsidP="00F96CFB">
      <w:pPr>
        <w:pStyle w:val="Bullet1"/>
      </w:pPr>
      <w:r>
        <w:t>respond effectively when non-compliance is identified.</w:t>
      </w:r>
    </w:p>
    <w:p w14:paraId="68768017" w14:textId="77777777" w:rsidR="00055213" w:rsidRPr="00A66C83" w:rsidRDefault="00055213" w:rsidP="00F96CFB">
      <w:pPr>
        <w:pStyle w:val="Bodyafterbullets"/>
      </w:pPr>
      <w:r w:rsidRPr="00A66C83">
        <w:t>This approach ensures our small team can effectively target activity to where it will have the biggest impact.</w:t>
      </w:r>
    </w:p>
    <w:p w14:paraId="251CEDD7" w14:textId="77777777" w:rsidR="00055213" w:rsidRDefault="00055213" w:rsidP="00055213">
      <w:pPr>
        <w:rPr>
          <w:rStyle w:val="Heading3Char"/>
        </w:rPr>
      </w:pPr>
      <w:r>
        <w:rPr>
          <w:rStyle w:val="Heading3Char"/>
        </w:rPr>
        <w:t>What is gender-based harm?</w:t>
      </w:r>
    </w:p>
    <w:p w14:paraId="61DD11C4" w14:textId="77777777" w:rsidR="00055213" w:rsidRDefault="00055213" w:rsidP="00F96CFB">
      <w:pPr>
        <w:pStyle w:val="Body"/>
      </w:pPr>
      <w:r w:rsidRPr="00A66C83">
        <w:t>Harm has a broad definition</w:t>
      </w:r>
      <w:r>
        <w:t xml:space="preserve">. It can include problems that affect </w:t>
      </w:r>
      <w:r w:rsidRPr="00A66C83">
        <w:t>individual</w:t>
      </w:r>
      <w:r>
        <w:t>s</w:t>
      </w:r>
      <w:r w:rsidRPr="00A66C83">
        <w:t>, group</w:t>
      </w:r>
      <w:r>
        <w:t>s</w:t>
      </w:r>
      <w:r w:rsidRPr="00A66C83">
        <w:t>, workplace</w:t>
      </w:r>
      <w:r>
        <w:t>s</w:t>
      </w:r>
      <w:r w:rsidRPr="00A66C83">
        <w:t>, the community or environment.</w:t>
      </w:r>
    </w:p>
    <w:p w14:paraId="78FF8309" w14:textId="77777777" w:rsidR="00055213" w:rsidRDefault="00055213" w:rsidP="00F96CFB">
      <w:pPr>
        <w:pStyle w:val="Body"/>
      </w:pPr>
      <w:r>
        <w:t>H</w:t>
      </w:r>
      <w:r w:rsidRPr="00EF1D15">
        <w:t xml:space="preserve">arms can affect anyone, but </w:t>
      </w:r>
      <w:r>
        <w:t xml:space="preserve">some </w:t>
      </w:r>
      <w:r w:rsidRPr="00EF1D15">
        <w:t xml:space="preserve">people </w:t>
      </w:r>
      <w:r>
        <w:t xml:space="preserve">(and in this case, some genders) may be </w:t>
      </w:r>
      <w:r w:rsidRPr="00EF1D15">
        <w:t>more vulnerable.</w:t>
      </w:r>
    </w:p>
    <w:p w14:paraId="7D52F39E" w14:textId="77777777" w:rsidR="00055213" w:rsidRDefault="00055213" w:rsidP="00F96CFB">
      <w:pPr>
        <w:pStyle w:val="Body"/>
        <w:rPr>
          <w:rStyle w:val="Heading3Char"/>
          <w:rFonts w:ascii="VIC" w:hAnsi="VIC"/>
          <w:color w:val="auto"/>
        </w:rPr>
      </w:pPr>
      <w:r>
        <w:t>We regulate to prevent, minimise and eliminate harm in the workplace and community that comes from:</w:t>
      </w:r>
    </w:p>
    <w:p w14:paraId="7258DE45" w14:textId="77777777" w:rsidR="00055213" w:rsidRPr="00A66C83" w:rsidRDefault="00055213" w:rsidP="00F96CFB">
      <w:pPr>
        <w:pStyle w:val="Bullet1"/>
      </w:pPr>
      <w:r w:rsidRPr="00A66C83">
        <w:t>gender-based discrimination, prejudice and disadvantage</w:t>
      </w:r>
    </w:p>
    <w:p w14:paraId="5653F03B" w14:textId="77777777" w:rsidR="00055213" w:rsidRPr="00A66C83" w:rsidRDefault="00055213" w:rsidP="00F96CFB">
      <w:pPr>
        <w:pStyle w:val="Bullet1"/>
      </w:pPr>
      <w:r w:rsidRPr="00A66C83">
        <w:t>gender-role stereotyping</w:t>
      </w:r>
      <w:r>
        <w:t xml:space="preserve"> where this leads to</w:t>
      </w:r>
      <w:r w:rsidRPr="00A66C83">
        <w:t xml:space="preserve"> economic </w:t>
      </w:r>
      <w:r>
        <w:t>or</w:t>
      </w:r>
      <w:r w:rsidRPr="00A66C83">
        <w:t xml:space="preserve"> social inequality</w:t>
      </w:r>
    </w:p>
    <w:p w14:paraId="6D33E850" w14:textId="77777777" w:rsidR="00055213" w:rsidRDefault="00055213" w:rsidP="00F96CFB">
      <w:pPr>
        <w:pStyle w:val="Bullet1"/>
      </w:pPr>
      <w:r w:rsidRPr="00A66C83">
        <w:t>gendered distribution of</w:t>
      </w:r>
      <w:r>
        <w:t xml:space="preserve"> labour that leads to economic and social inequality</w:t>
      </w:r>
    </w:p>
    <w:p w14:paraId="7B643FF1" w14:textId="77777777" w:rsidR="00055213" w:rsidRPr="00A66C83" w:rsidRDefault="00055213" w:rsidP="00F96CFB">
      <w:pPr>
        <w:pStyle w:val="Bullet1"/>
      </w:pPr>
      <w:r w:rsidRPr="00A66C83">
        <w:t xml:space="preserve">gendered distribution of power </w:t>
      </w:r>
      <w:bookmarkStart w:id="27" w:name="_Hlk193187508"/>
      <w:r>
        <w:t>where this creates physical, economic or psychological harm</w:t>
      </w:r>
      <w:bookmarkEnd w:id="27"/>
    </w:p>
    <w:p w14:paraId="4FF5FC8E" w14:textId="58C5AF9A" w:rsidR="00055213" w:rsidRPr="00A66C83" w:rsidRDefault="00055213" w:rsidP="00F96CFB">
      <w:pPr>
        <w:pStyle w:val="Bullet1"/>
      </w:pPr>
      <w:r w:rsidRPr="00A66C83">
        <w:t>sexual harassment and</w:t>
      </w:r>
      <w:r w:rsidRPr="00BC2FC0">
        <w:t xml:space="preserve"> </w:t>
      </w:r>
      <w:r w:rsidRPr="00A66C83">
        <w:t>other forms of gender-based violence</w:t>
      </w:r>
      <w:r w:rsidR="00F96CFB">
        <w:t>.</w:t>
      </w:r>
      <w:r w:rsidRPr="00A66C83">
        <w:t xml:space="preserve"> </w:t>
      </w:r>
    </w:p>
    <w:p w14:paraId="2AE6C51B" w14:textId="77777777" w:rsidR="00055213" w:rsidRDefault="00055213" w:rsidP="00055213">
      <w:pPr>
        <w:pStyle w:val="Heading3"/>
      </w:pPr>
      <w:r>
        <w:t>Assessing risk of gender-based harm</w:t>
      </w:r>
    </w:p>
    <w:bookmarkEnd w:id="26"/>
    <w:p w14:paraId="72245766" w14:textId="77777777" w:rsidR="00055213" w:rsidRPr="00A66C83" w:rsidRDefault="00055213" w:rsidP="00F96CFB">
      <w:pPr>
        <w:pStyle w:val="Body"/>
      </w:pPr>
      <w:r>
        <w:t>When</w:t>
      </w:r>
      <w:r w:rsidRPr="00A66C83">
        <w:t xml:space="preserve"> assessing the risk of gender-based harm </w:t>
      </w:r>
      <w:r>
        <w:t>w</w:t>
      </w:r>
      <w:r w:rsidRPr="00A66C83">
        <w:t>e consider:</w:t>
      </w:r>
    </w:p>
    <w:p w14:paraId="7739E5E7" w14:textId="77777777" w:rsidR="00055213" w:rsidRPr="00A66C83" w:rsidRDefault="00055213" w:rsidP="00F96CFB">
      <w:pPr>
        <w:pStyle w:val="Body"/>
        <w:rPr>
          <w:highlight w:val="yellow"/>
        </w:rPr>
      </w:pPr>
      <w:r w:rsidRPr="00E23BF3">
        <w:t>The</w:t>
      </w:r>
      <w:r>
        <w:rPr>
          <w:b/>
          <w:bCs/>
        </w:rPr>
        <w:t xml:space="preserve"> l</w:t>
      </w:r>
      <w:r w:rsidRPr="00A66C83">
        <w:rPr>
          <w:b/>
          <w:bCs/>
        </w:rPr>
        <w:t>ikelihood</w:t>
      </w:r>
      <w:r w:rsidRPr="00A66C83">
        <w:rPr>
          <w:b/>
        </w:rPr>
        <w:t xml:space="preserve"> </w:t>
      </w:r>
      <w:r w:rsidRPr="00A66C83">
        <w:t>of duty holders failing to address gender inequality in their workplace or policies, programs and services.</w:t>
      </w:r>
    </w:p>
    <w:p w14:paraId="0335C6E2" w14:textId="77777777" w:rsidR="00055213" w:rsidRPr="00A66C83" w:rsidRDefault="00055213" w:rsidP="00F96CFB">
      <w:pPr>
        <w:pStyle w:val="Body"/>
      </w:pPr>
      <w:r w:rsidRPr="00E23BF3">
        <w:t>The</w:t>
      </w:r>
      <w:r>
        <w:rPr>
          <w:b/>
          <w:bCs/>
        </w:rPr>
        <w:t xml:space="preserve"> c</w:t>
      </w:r>
      <w:r w:rsidRPr="00A66C83">
        <w:rPr>
          <w:b/>
          <w:bCs/>
        </w:rPr>
        <w:t>onsequence of non-compliance</w:t>
      </w:r>
      <w:r>
        <w:t>. T</w:t>
      </w:r>
      <w:r w:rsidRPr="00E23BF3">
        <w:t>hat is</w:t>
      </w:r>
      <w:r w:rsidRPr="00A66C83">
        <w:t xml:space="preserve"> the extent and significance of duty holders: </w:t>
      </w:r>
    </w:p>
    <w:p w14:paraId="411B783C" w14:textId="77777777" w:rsidR="00055213" w:rsidRPr="00A66C83" w:rsidRDefault="00055213" w:rsidP="00F96CFB">
      <w:pPr>
        <w:pStyle w:val="Bullet1"/>
      </w:pPr>
      <w:r w:rsidRPr="00A66C83">
        <w:t xml:space="preserve">not having effective strategies </w:t>
      </w:r>
      <w:r>
        <w:t>in place</w:t>
      </w:r>
      <w:r w:rsidRPr="00A66C83">
        <w:t xml:space="preserve"> </w:t>
      </w:r>
      <w:r>
        <w:t>to address</w:t>
      </w:r>
      <w:r w:rsidRPr="00A66C83">
        <w:t xml:space="preserve"> gender inequality</w:t>
      </w:r>
    </w:p>
    <w:p w14:paraId="55E06F1D" w14:textId="77777777" w:rsidR="00055213" w:rsidRPr="00A66C83" w:rsidRDefault="00055213" w:rsidP="00F96CFB">
      <w:pPr>
        <w:pStyle w:val="Bullet1"/>
      </w:pPr>
      <w:r w:rsidRPr="00A66C83">
        <w:t>failing to take necessary and proportionate action towards gender equality</w:t>
      </w:r>
    </w:p>
    <w:p w14:paraId="1E1389CC" w14:textId="77777777" w:rsidR="00055213" w:rsidRPr="00A66C83" w:rsidRDefault="00055213" w:rsidP="00F96CFB">
      <w:pPr>
        <w:pStyle w:val="Bullet1"/>
      </w:pPr>
      <w:r w:rsidRPr="00A66C83">
        <w:t>failing to consider and promote gender equality.</w:t>
      </w:r>
    </w:p>
    <w:p w14:paraId="6E9A1DEA" w14:textId="77777777" w:rsidR="00055213" w:rsidRPr="00A66C83" w:rsidRDefault="00055213" w:rsidP="00F96CFB">
      <w:pPr>
        <w:pStyle w:val="Bodyafterbullets"/>
      </w:pPr>
      <w:r>
        <w:t>This includes considering the scale and concentration (within an industry) of the harm.</w:t>
      </w:r>
    </w:p>
    <w:p w14:paraId="4ED71811" w14:textId="516E6A72" w:rsidR="00214A3F" w:rsidRPr="00214A3F" w:rsidRDefault="003E5E25" w:rsidP="00214A3F">
      <w:pPr>
        <w:pStyle w:val="Figurecaption"/>
      </w:pPr>
      <w:r>
        <w:lastRenderedPageBreak/>
        <w:t xml:space="preserve">Figure </w:t>
      </w:r>
      <w:r>
        <w:fldChar w:fldCharType="begin"/>
      </w:r>
      <w:r>
        <w:instrText xml:space="preserve"> SEQ Figure \* ARABIC </w:instrText>
      </w:r>
      <w:r>
        <w:fldChar w:fldCharType="separate"/>
      </w:r>
      <w:r w:rsidR="00AB1F16">
        <w:rPr>
          <w:noProof/>
        </w:rPr>
        <w:t>1</w:t>
      </w:r>
      <w:r>
        <w:fldChar w:fldCharType="end"/>
      </w:r>
      <w:r w:rsidRPr="00C72294">
        <w:t xml:space="preserve">: </w:t>
      </w:r>
      <w:r w:rsidR="00214A3F" w:rsidRPr="00214A3F">
        <w:t>Assessing risk of gender-based harm</w:t>
      </w:r>
    </w:p>
    <w:p w14:paraId="297A8CCD" w14:textId="6240F41D" w:rsidR="00055213" w:rsidRPr="00D51855" w:rsidRDefault="0071431B" w:rsidP="00055213">
      <w:r w:rsidRPr="0071431B">
        <w:rPr>
          <w:noProof/>
        </w:rPr>
        <w:drawing>
          <wp:inline distT="0" distB="0" distL="0" distR="0" wp14:anchorId="1633A310" wp14:editId="3EE35571">
            <wp:extent cx="5904230" cy="5372735"/>
            <wp:effectExtent l="0" t="0" r="1270" b="0"/>
            <wp:docPr id="2029792719" name="Picture 1" descr="Graph showing a risk's 'consequence' on the Y-axis and 'likelihood' on the x-axis. Four points are marked on the graph to show categories of risk: A is low likelihood and low consequence; B is low likelihood and high consequence; C is high likelihood and moderate consequence, and D is high likelihood and low consequ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92719" name="Picture 1" descr="Graph showing a risk's 'consequence' on the Y-axis and 'likelihood' on the x-axis. Four points are marked on the graph to show categories of risk: A is low likelihood and low consequence; B is low likelihood and high consequence; C is high likelihood and moderate consequence, and D is high likelihood and low consequence. "/>
                    <pic:cNvPicPr/>
                  </pic:nvPicPr>
                  <pic:blipFill>
                    <a:blip r:embed="rId20"/>
                    <a:stretch>
                      <a:fillRect/>
                    </a:stretch>
                  </pic:blipFill>
                  <pic:spPr>
                    <a:xfrm>
                      <a:off x="0" y="0"/>
                      <a:ext cx="5904230" cy="5372735"/>
                    </a:xfrm>
                    <a:prstGeom prst="rect">
                      <a:avLst/>
                    </a:prstGeom>
                  </pic:spPr>
                </pic:pic>
              </a:graphicData>
            </a:graphic>
          </wp:inline>
        </w:drawing>
      </w:r>
    </w:p>
    <w:p w14:paraId="16CE41C8" w14:textId="0B88B637" w:rsidR="00F8050D" w:rsidRPr="00F8050D" w:rsidRDefault="00F8050D" w:rsidP="00F8050D">
      <w:pPr>
        <w:pStyle w:val="Tablefigurenote"/>
      </w:pPr>
      <w:r w:rsidRPr="00F8050D">
        <w:rPr>
          <w:rFonts w:eastAsia="+mn-ea"/>
        </w:rPr>
        <w:t>A – Lower priority for intervention. Subject to general observation and guidance.</w:t>
      </w:r>
    </w:p>
    <w:p w14:paraId="01BE4A7D" w14:textId="77777777" w:rsidR="00F8050D" w:rsidRPr="00F8050D" w:rsidRDefault="00F8050D" w:rsidP="00F8050D">
      <w:pPr>
        <w:pStyle w:val="Tablefigurenote"/>
      </w:pPr>
      <w:r w:rsidRPr="00F8050D">
        <w:rPr>
          <w:rFonts w:eastAsia="+mn-ea"/>
        </w:rPr>
        <w:t>B – Risk of greater consequence that may need dedicated effort to understand and respond accordingly. These are more likely to be strategic priorities.</w:t>
      </w:r>
    </w:p>
    <w:p w14:paraId="7C3C43B2" w14:textId="77777777" w:rsidR="00F8050D" w:rsidRPr="00F8050D" w:rsidRDefault="00F8050D" w:rsidP="00F8050D">
      <w:pPr>
        <w:pStyle w:val="Tablefigurenote"/>
        <w:rPr>
          <w:rFonts w:eastAsia="+mn-ea"/>
        </w:rPr>
      </w:pPr>
      <w:r w:rsidRPr="00F8050D">
        <w:rPr>
          <w:rFonts w:eastAsia="+mn-ea"/>
        </w:rPr>
        <w:t>C – Intervening where the likelihood and consequences are both moderate to high is a high priority.</w:t>
      </w:r>
    </w:p>
    <w:p w14:paraId="2EFDFCE7" w14:textId="77777777" w:rsidR="00F8050D" w:rsidRPr="00F8050D" w:rsidRDefault="00F8050D" w:rsidP="00F8050D">
      <w:pPr>
        <w:pStyle w:val="Tablefigurenote"/>
        <w:rPr>
          <w:rFonts w:eastAsia="+mn-ea"/>
        </w:rPr>
      </w:pPr>
      <w:r w:rsidRPr="2D21C1BF">
        <w:rPr>
          <w:rFonts w:eastAsia="+mn-ea"/>
        </w:rPr>
        <w:t>D – Lower priority given relative low consequences. In these cases, guidance or education is likely to be effective.</w:t>
      </w:r>
    </w:p>
    <w:p w14:paraId="253370D7" w14:textId="77777777" w:rsidR="00055213" w:rsidRPr="00494EC8" w:rsidRDefault="00055213" w:rsidP="003E699B">
      <w:pPr>
        <w:pStyle w:val="Tablecaption"/>
      </w:pPr>
      <w:r w:rsidRPr="00494EC8">
        <w:t>Table 1: Likelihood of non-compliance</w:t>
      </w:r>
    </w:p>
    <w:tbl>
      <w:tblPr>
        <w:tblStyle w:val="TableGrid"/>
        <w:tblW w:w="9214" w:type="dxa"/>
        <w:tblInd w:w="-5" w:type="dxa"/>
        <w:tblLook w:val="04A0" w:firstRow="1" w:lastRow="0" w:firstColumn="1" w:lastColumn="0" w:noHBand="0" w:noVBand="1"/>
      </w:tblPr>
      <w:tblGrid>
        <w:gridCol w:w="1080"/>
        <w:gridCol w:w="5459"/>
        <w:gridCol w:w="2675"/>
      </w:tblGrid>
      <w:tr w:rsidR="00055213" w:rsidRPr="00D51855" w14:paraId="06987A82" w14:textId="77777777" w:rsidTr="003E699B">
        <w:trPr>
          <w:tblHeader/>
        </w:trPr>
        <w:tc>
          <w:tcPr>
            <w:tcW w:w="952" w:type="dxa"/>
            <w:shd w:val="clear" w:color="auto" w:fill="auto"/>
          </w:tcPr>
          <w:p w14:paraId="417CA64C" w14:textId="77777777" w:rsidR="00055213" w:rsidRPr="00D51855" w:rsidRDefault="00055213" w:rsidP="003E699B">
            <w:pPr>
              <w:pStyle w:val="Tablecolhead"/>
            </w:pPr>
            <w:r w:rsidRPr="00D51855">
              <w:t xml:space="preserve"> Rating</w:t>
            </w:r>
          </w:p>
        </w:tc>
        <w:tc>
          <w:tcPr>
            <w:tcW w:w="5569" w:type="dxa"/>
            <w:shd w:val="clear" w:color="auto" w:fill="auto"/>
          </w:tcPr>
          <w:p w14:paraId="6604824E" w14:textId="77777777" w:rsidR="00055213" w:rsidRPr="00D51855" w:rsidRDefault="00055213" w:rsidP="003E699B">
            <w:pPr>
              <w:pStyle w:val="Tablecolhead"/>
            </w:pPr>
            <w:r w:rsidRPr="00D51855">
              <w:t xml:space="preserve">Description of </w:t>
            </w:r>
            <w:r>
              <w:t>duty holder</w:t>
            </w:r>
          </w:p>
        </w:tc>
        <w:tc>
          <w:tcPr>
            <w:tcW w:w="2693" w:type="dxa"/>
            <w:shd w:val="clear" w:color="auto" w:fill="auto"/>
          </w:tcPr>
          <w:p w14:paraId="5607DC3A" w14:textId="77777777" w:rsidR="00055213" w:rsidRPr="003E7B60" w:rsidRDefault="00055213" w:rsidP="003E699B">
            <w:pPr>
              <w:pStyle w:val="Tablecolhead"/>
            </w:pPr>
            <w:r w:rsidRPr="00D51855">
              <w:t xml:space="preserve">Description of </w:t>
            </w:r>
            <w:r>
              <w:t>policy, program or</w:t>
            </w:r>
            <w:r w:rsidRPr="00D51855">
              <w:t xml:space="preserve"> service </w:t>
            </w:r>
          </w:p>
        </w:tc>
      </w:tr>
      <w:tr w:rsidR="00055213" w:rsidRPr="00D51855" w14:paraId="53E7D172" w14:textId="77777777" w:rsidTr="00156BED">
        <w:tc>
          <w:tcPr>
            <w:tcW w:w="952" w:type="dxa"/>
            <w:shd w:val="clear" w:color="auto" w:fill="auto"/>
          </w:tcPr>
          <w:p w14:paraId="22A0941C" w14:textId="77777777" w:rsidR="00055213" w:rsidRPr="00156BED" w:rsidRDefault="00055213" w:rsidP="003E699B">
            <w:pPr>
              <w:pStyle w:val="Tabletext"/>
              <w:rPr>
                <w:b/>
                <w:bCs/>
              </w:rPr>
            </w:pPr>
            <w:r w:rsidRPr="00156BED">
              <w:rPr>
                <w:b/>
                <w:bCs/>
              </w:rPr>
              <w:t>Unlikely</w:t>
            </w:r>
          </w:p>
        </w:tc>
        <w:tc>
          <w:tcPr>
            <w:tcW w:w="5569" w:type="dxa"/>
          </w:tcPr>
          <w:p w14:paraId="055EC992" w14:textId="77777777" w:rsidR="00055213" w:rsidRPr="00D51855" w:rsidRDefault="00055213" w:rsidP="003E699B">
            <w:pPr>
              <w:pStyle w:val="Tablebullet1"/>
              <w:rPr>
                <w:rFonts w:eastAsiaTheme="minorHAnsi"/>
              </w:rPr>
            </w:pPr>
            <w:r w:rsidRPr="00D51855">
              <w:rPr>
                <w:rFonts w:eastAsiaTheme="minorHAnsi"/>
              </w:rPr>
              <w:t>General willingness to comply and supportive leaders</w:t>
            </w:r>
            <w:r>
              <w:rPr>
                <w:rFonts w:eastAsiaTheme="minorHAnsi"/>
              </w:rPr>
              <w:t xml:space="preserve">, executives and </w:t>
            </w:r>
            <w:r w:rsidRPr="007C7E28">
              <w:rPr>
                <w:rFonts w:eastAsiaTheme="minorHAnsi"/>
              </w:rPr>
              <w:t>board</w:t>
            </w:r>
          </w:p>
          <w:p w14:paraId="20679FE3" w14:textId="77777777" w:rsidR="00055213" w:rsidRPr="00D51855" w:rsidRDefault="00055213" w:rsidP="003E699B">
            <w:pPr>
              <w:pStyle w:val="Tablebullet1"/>
              <w:rPr>
                <w:rFonts w:eastAsiaTheme="minorHAnsi"/>
              </w:rPr>
            </w:pPr>
            <w:r w:rsidRPr="00D51855">
              <w:rPr>
                <w:rFonts w:eastAsiaTheme="minorHAnsi"/>
              </w:rPr>
              <w:t xml:space="preserve">History of engagement with </w:t>
            </w:r>
            <w:r>
              <w:rPr>
                <w:rFonts w:eastAsiaTheme="minorHAnsi"/>
              </w:rPr>
              <w:t>Commission</w:t>
            </w:r>
          </w:p>
          <w:p w14:paraId="426D83A2" w14:textId="77777777" w:rsidR="00055213" w:rsidRPr="007C7E28" w:rsidRDefault="00055213" w:rsidP="003E699B">
            <w:pPr>
              <w:pStyle w:val="Tablebullet1"/>
              <w:rPr>
                <w:rFonts w:eastAsiaTheme="minorHAnsi"/>
              </w:rPr>
            </w:pPr>
            <w:r w:rsidRPr="007C7E28">
              <w:rPr>
                <w:rFonts w:eastAsiaTheme="minorHAnsi"/>
              </w:rPr>
              <w:t>Demonstrates an understanding of intersectional gender equality</w:t>
            </w:r>
          </w:p>
          <w:p w14:paraId="7E5FB238" w14:textId="77777777" w:rsidR="00055213" w:rsidRPr="00D51855" w:rsidRDefault="00055213" w:rsidP="003E699B">
            <w:pPr>
              <w:pStyle w:val="Tablebullet1"/>
              <w:rPr>
                <w:rFonts w:eastAsiaTheme="minorHAnsi"/>
              </w:rPr>
            </w:pPr>
            <w:r w:rsidRPr="00D51855">
              <w:rPr>
                <w:rFonts w:eastAsiaTheme="minorHAnsi"/>
              </w:rPr>
              <w:t xml:space="preserve">GIAs </w:t>
            </w:r>
            <w:r>
              <w:rPr>
                <w:rFonts w:eastAsiaTheme="minorHAnsi"/>
              </w:rPr>
              <w:t>are</w:t>
            </w:r>
            <w:r w:rsidRPr="00D51855">
              <w:rPr>
                <w:rFonts w:eastAsiaTheme="minorHAnsi"/>
              </w:rPr>
              <w:t xml:space="preserve"> </w:t>
            </w:r>
            <w:r>
              <w:rPr>
                <w:rFonts w:eastAsiaTheme="minorHAnsi"/>
              </w:rPr>
              <w:t>embedded</w:t>
            </w:r>
            <w:r w:rsidRPr="00D51855" w:rsidDel="00E67344">
              <w:rPr>
                <w:rFonts w:eastAsiaTheme="minorHAnsi"/>
              </w:rPr>
              <w:t xml:space="preserve"> </w:t>
            </w:r>
            <w:r>
              <w:rPr>
                <w:rFonts w:eastAsiaTheme="minorHAnsi"/>
              </w:rPr>
              <w:t xml:space="preserve">into business-as-usual </w:t>
            </w:r>
            <w:r w:rsidRPr="00D51855" w:rsidDel="00E67344">
              <w:rPr>
                <w:rFonts w:eastAsiaTheme="minorHAnsi"/>
              </w:rPr>
              <w:t>and</w:t>
            </w:r>
            <w:r>
              <w:rPr>
                <w:rFonts w:eastAsiaTheme="minorHAnsi"/>
              </w:rPr>
              <w:t xml:space="preserve"> is</w:t>
            </w:r>
            <w:r w:rsidRPr="00D51855">
              <w:rPr>
                <w:rFonts w:eastAsiaTheme="minorHAnsi"/>
              </w:rPr>
              <w:t xml:space="preserve"> building staff capability</w:t>
            </w:r>
          </w:p>
          <w:p w14:paraId="3844FC6A" w14:textId="77777777" w:rsidR="00055213" w:rsidRPr="00D51855" w:rsidRDefault="00055213" w:rsidP="003E699B">
            <w:pPr>
              <w:pStyle w:val="Tablebullet1"/>
              <w:rPr>
                <w:rFonts w:eastAsiaTheme="minorHAnsi"/>
              </w:rPr>
            </w:pPr>
            <w:r>
              <w:rPr>
                <w:rFonts w:eastAsiaTheme="minorHAnsi"/>
              </w:rPr>
              <w:lastRenderedPageBreak/>
              <w:t xml:space="preserve">GEAP and </w:t>
            </w:r>
            <w:r w:rsidRPr="00D51855">
              <w:rPr>
                <w:rFonts w:eastAsiaTheme="minorHAnsi"/>
              </w:rPr>
              <w:t xml:space="preserve">GIA recommendations endorsed by leaders </w:t>
            </w:r>
          </w:p>
          <w:p w14:paraId="499441E7" w14:textId="77777777" w:rsidR="00055213" w:rsidRPr="00D51855" w:rsidRDefault="00055213" w:rsidP="003E699B">
            <w:pPr>
              <w:pStyle w:val="Tablebullet1"/>
              <w:rPr>
                <w:rFonts w:eastAsiaTheme="minorHAnsi"/>
              </w:rPr>
            </w:pPr>
            <w:r>
              <w:rPr>
                <w:rFonts w:eastAsiaTheme="minorHAnsi"/>
              </w:rPr>
              <w:t>Adequate</w:t>
            </w:r>
            <w:r w:rsidRPr="00D51855">
              <w:rPr>
                <w:rFonts w:eastAsiaTheme="minorHAnsi"/>
              </w:rPr>
              <w:t xml:space="preserve"> resourcing of the obligations proportional to org</w:t>
            </w:r>
            <w:r>
              <w:rPr>
                <w:rFonts w:eastAsiaTheme="minorHAnsi"/>
              </w:rPr>
              <w:t>anisation</w:t>
            </w:r>
            <w:r w:rsidRPr="00D51855">
              <w:rPr>
                <w:rFonts w:eastAsiaTheme="minorHAnsi"/>
              </w:rPr>
              <w:t xml:space="preserve"> size</w:t>
            </w:r>
            <w:r>
              <w:rPr>
                <w:rFonts w:eastAsiaTheme="minorHAnsi"/>
              </w:rPr>
              <w:t xml:space="preserve"> and needs</w:t>
            </w:r>
          </w:p>
        </w:tc>
        <w:tc>
          <w:tcPr>
            <w:tcW w:w="2693" w:type="dxa"/>
          </w:tcPr>
          <w:p w14:paraId="57B11B20" w14:textId="77777777" w:rsidR="00055213" w:rsidRPr="00D51855" w:rsidRDefault="00055213" w:rsidP="003E699B">
            <w:pPr>
              <w:pStyle w:val="Tablebullet1"/>
              <w:rPr>
                <w:rFonts w:eastAsiaTheme="minorHAnsi"/>
              </w:rPr>
            </w:pPr>
            <w:r w:rsidRPr="007C7E28">
              <w:rPr>
                <w:rFonts w:eastAsiaTheme="minorEastAsia"/>
              </w:rPr>
              <w:lastRenderedPageBreak/>
              <w:t>Diverse workforce</w:t>
            </w:r>
          </w:p>
          <w:p w14:paraId="406A7D28" w14:textId="77777777" w:rsidR="00055213" w:rsidRPr="00D51855" w:rsidRDefault="00055213" w:rsidP="003E699B">
            <w:pPr>
              <w:pStyle w:val="Tablebullet1"/>
              <w:rPr>
                <w:rFonts w:eastAsiaTheme="minorHAnsi"/>
              </w:rPr>
            </w:pPr>
            <w:r w:rsidRPr="007C7E28">
              <w:rPr>
                <w:rFonts w:eastAsiaTheme="minorHAnsi"/>
              </w:rPr>
              <w:t>Proportionate</w:t>
            </w:r>
            <w:r>
              <w:rPr>
                <w:rFonts w:eastAsiaTheme="minorHAnsi"/>
              </w:rPr>
              <w:t xml:space="preserve"> number of </w:t>
            </w:r>
            <w:r w:rsidRPr="00D51855">
              <w:rPr>
                <w:rFonts w:eastAsiaTheme="minorHAnsi"/>
              </w:rPr>
              <w:t>GIAs completed</w:t>
            </w:r>
            <w:r w:rsidRPr="007C7E28">
              <w:rPr>
                <w:rFonts w:eastAsiaTheme="minorHAnsi"/>
              </w:rPr>
              <w:t xml:space="preserve"> or</w:t>
            </w:r>
            <w:r w:rsidRPr="00D51855">
              <w:rPr>
                <w:rFonts w:eastAsiaTheme="minorHAnsi"/>
              </w:rPr>
              <w:t xml:space="preserve"> in progress</w:t>
            </w:r>
          </w:p>
          <w:p w14:paraId="50503BE6" w14:textId="77777777" w:rsidR="00055213" w:rsidRPr="007C7E28" w:rsidRDefault="00055213" w:rsidP="003E699B">
            <w:pPr>
              <w:pStyle w:val="Tablebullet1"/>
              <w:rPr>
                <w:rFonts w:eastAsiaTheme="minorHAnsi"/>
              </w:rPr>
            </w:pPr>
            <w:r w:rsidRPr="00D51855">
              <w:rPr>
                <w:rFonts w:eastAsiaTheme="minorHAnsi"/>
              </w:rPr>
              <w:t xml:space="preserve">GIA recommendations </w:t>
            </w:r>
            <w:r w:rsidRPr="007C7E28">
              <w:rPr>
                <w:rFonts w:eastAsiaTheme="minorHAnsi"/>
              </w:rPr>
              <w:t>show</w:t>
            </w:r>
            <w:r>
              <w:rPr>
                <w:rFonts w:eastAsiaTheme="minorHAnsi"/>
              </w:rPr>
              <w:t xml:space="preserve"> sophisticated understanding of the </w:t>
            </w:r>
            <w:r>
              <w:rPr>
                <w:rFonts w:eastAsiaTheme="minorHAnsi"/>
              </w:rPr>
              <w:lastRenderedPageBreak/>
              <w:t>issues and are implementable</w:t>
            </w:r>
          </w:p>
          <w:p w14:paraId="3116D4A0" w14:textId="77777777" w:rsidR="00055213" w:rsidRPr="00D51855" w:rsidRDefault="00055213" w:rsidP="003E699B">
            <w:pPr>
              <w:pStyle w:val="Tablebullet1"/>
              <w:rPr>
                <w:rFonts w:eastAsiaTheme="minorHAnsi"/>
              </w:rPr>
            </w:pPr>
            <w:r w:rsidRPr="007C7E28">
              <w:rPr>
                <w:rFonts w:eastAsiaTheme="minorHAnsi"/>
              </w:rPr>
              <w:t>Adequate resources dedicated to GIAs</w:t>
            </w:r>
          </w:p>
        </w:tc>
      </w:tr>
      <w:tr w:rsidR="00055213" w:rsidRPr="00D51855" w14:paraId="5654D859" w14:textId="77777777" w:rsidTr="00156BED">
        <w:tc>
          <w:tcPr>
            <w:tcW w:w="952" w:type="dxa"/>
            <w:shd w:val="clear" w:color="auto" w:fill="auto"/>
          </w:tcPr>
          <w:p w14:paraId="7F5ADBA6" w14:textId="77777777" w:rsidR="00055213" w:rsidRPr="00156BED" w:rsidRDefault="00055213" w:rsidP="003E699B">
            <w:pPr>
              <w:pStyle w:val="Tabletext"/>
              <w:rPr>
                <w:b/>
                <w:bCs/>
              </w:rPr>
            </w:pPr>
            <w:r w:rsidRPr="00156BED">
              <w:rPr>
                <w:b/>
                <w:bCs/>
              </w:rPr>
              <w:lastRenderedPageBreak/>
              <w:t>Possible</w:t>
            </w:r>
          </w:p>
        </w:tc>
        <w:tc>
          <w:tcPr>
            <w:tcW w:w="5569" w:type="dxa"/>
          </w:tcPr>
          <w:p w14:paraId="5BA97C52" w14:textId="77777777" w:rsidR="00055213" w:rsidRPr="007C7E28" w:rsidRDefault="00055213" w:rsidP="003E699B">
            <w:pPr>
              <w:pStyle w:val="Tablebullet1"/>
              <w:rPr>
                <w:rFonts w:eastAsiaTheme="minorHAnsi"/>
              </w:rPr>
            </w:pPr>
            <w:r>
              <w:rPr>
                <w:rFonts w:eastAsiaTheme="minorHAnsi"/>
              </w:rPr>
              <w:t>Limited</w:t>
            </w:r>
            <w:r w:rsidRPr="00D51855">
              <w:rPr>
                <w:rFonts w:eastAsiaTheme="minorHAnsi"/>
              </w:rPr>
              <w:t xml:space="preserve"> engagement with </w:t>
            </w:r>
            <w:r>
              <w:rPr>
                <w:rFonts w:eastAsiaTheme="minorHAnsi"/>
              </w:rPr>
              <w:t>Commission</w:t>
            </w:r>
          </w:p>
          <w:p w14:paraId="101329F0" w14:textId="77777777" w:rsidR="00055213" w:rsidRPr="00D51855" w:rsidRDefault="00055213" w:rsidP="003E699B">
            <w:pPr>
              <w:pStyle w:val="Tablebullet1"/>
              <w:rPr>
                <w:rFonts w:eastAsiaTheme="minorHAnsi"/>
              </w:rPr>
            </w:pPr>
            <w:r w:rsidRPr="007C7E28">
              <w:rPr>
                <w:rFonts w:eastAsiaTheme="minorHAnsi"/>
              </w:rPr>
              <w:t>Poor attitude to</w:t>
            </w:r>
            <w:r>
              <w:rPr>
                <w:rFonts w:eastAsiaTheme="minorHAnsi"/>
              </w:rPr>
              <w:t xml:space="preserve"> compliance</w:t>
            </w:r>
          </w:p>
          <w:p w14:paraId="4A3C8EFD" w14:textId="77777777" w:rsidR="00055213" w:rsidRDefault="00055213" w:rsidP="003E699B">
            <w:pPr>
              <w:pStyle w:val="Tablebullet1"/>
              <w:rPr>
                <w:rFonts w:eastAsiaTheme="minorHAnsi"/>
              </w:rPr>
            </w:pPr>
            <w:r w:rsidRPr="00D51855">
              <w:rPr>
                <w:rFonts w:eastAsiaTheme="minorHAnsi"/>
              </w:rPr>
              <w:t xml:space="preserve">Issues identified in GEAPs </w:t>
            </w:r>
            <w:r w:rsidRPr="007C7E28">
              <w:rPr>
                <w:rFonts w:eastAsiaTheme="minorHAnsi"/>
              </w:rPr>
              <w:t>showing</w:t>
            </w:r>
            <w:r w:rsidRPr="00D51855">
              <w:rPr>
                <w:rFonts w:eastAsiaTheme="minorHAnsi"/>
              </w:rPr>
              <w:t xml:space="preserve"> lack of </w:t>
            </w:r>
            <w:r>
              <w:rPr>
                <w:rFonts w:eastAsiaTheme="minorHAnsi"/>
              </w:rPr>
              <w:t xml:space="preserve">understanding </w:t>
            </w:r>
            <w:r w:rsidRPr="007C7E28">
              <w:rPr>
                <w:rFonts w:eastAsiaTheme="minorHAnsi"/>
              </w:rPr>
              <w:t>and/or</w:t>
            </w:r>
            <w:r>
              <w:rPr>
                <w:rFonts w:eastAsiaTheme="minorHAnsi"/>
              </w:rPr>
              <w:t xml:space="preserve"> </w:t>
            </w:r>
            <w:r w:rsidRPr="00D51855">
              <w:rPr>
                <w:rFonts w:eastAsiaTheme="minorHAnsi"/>
              </w:rPr>
              <w:t xml:space="preserve">commitment to </w:t>
            </w:r>
            <w:r>
              <w:rPr>
                <w:rFonts w:eastAsiaTheme="minorHAnsi"/>
              </w:rPr>
              <w:t>gender equality</w:t>
            </w:r>
          </w:p>
          <w:p w14:paraId="10465F99" w14:textId="77777777" w:rsidR="00055213" w:rsidRDefault="00055213" w:rsidP="003E699B">
            <w:pPr>
              <w:pStyle w:val="Tablebullet1"/>
              <w:rPr>
                <w:rFonts w:eastAsiaTheme="minorHAnsi"/>
              </w:rPr>
            </w:pPr>
            <w:r>
              <w:rPr>
                <w:rFonts w:eastAsiaTheme="minorHAnsi"/>
              </w:rPr>
              <w:t xml:space="preserve">Issues identified with the quality of audit data </w:t>
            </w:r>
          </w:p>
          <w:p w14:paraId="76CE2255" w14:textId="77777777" w:rsidR="00055213" w:rsidRPr="00D51855" w:rsidRDefault="00055213" w:rsidP="003E699B">
            <w:pPr>
              <w:pStyle w:val="Tablebullet1"/>
              <w:rPr>
                <w:rFonts w:eastAsiaTheme="minorHAnsi"/>
              </w:rPr>
            </w:pPr>
            <w:r>
              <w:rPr>
                <w:rFonts w:eastAsiaTheme="minorEastAsia"/>
              </w:rPr>
              <w:t>Changes in staff leading GEAP implementation and progress reports, without adequate handover</w:t>
            </w:r>
          </w:p>
        </w:tc>
        <w:tc>
          <w:tcPr>
            <w:tcW w:w="2693" w:type="dxa"/>
          </w:tcPr>
          <w:p w14:paraId="5D080818" w14:textId="77777777" w:rsidR="00055213" w:rsidRDefault="00055213" w:rsidP="003E699B">
            <w:pPr>
              <w:pStyle w:val="Tablebullet1"/>
              <w:rPr>
                <w:rFonts w:eastAsiaTheme="minorHAnsi"/>
              </w:rPr>
            </w:pPr>
            <w:r w:rsidRPr="007C7E28">
              <w:rPr>
                <w:rFonts w:eastAsiaTheme="minorHAnsi"/>
              </w:rPr>
              <w:t>Workforce relatively static</w:t>
            </w:r>
          </w:p>
          <w:p w14:paraId="182B6C3E" w14:textId="77777777" w:rsidR="00055213" w:rsidRPr="007C7E28" w:rsidRDefault="00055213" w:rsidP="003E699B">
            <w:pPr>
              <w:pStyle w:val="Tablebullet1"/>
              <w:rPr>
                <w:rFonts w:eastAsiaTheme="minorHAnsi"/>
              </w:rPr>
            </w:pPr>
            <w:r>
              <w:rPr>
                <w:rFonts w:eastAsiaTheme="minorHAnsi"/>
              </w:rPr>
              <w:t>Superficial reporting on GIAs</w:t>
            </w:r>
          </w:p>
          <w:p w14:paraId="54E45319" w14:textId="77777777" w:rsidR="00055213" w:rsidRPr="00D51855" w:rsidRDefault="00055213" w:rsidP="003E699B">
            <w:pPr>
              <w:pStyle w:val="Tablebullet1"/>
              <w:rPr>
                <w:rFonts w:eastAsiaTheme="minorHAnsi"/>
              </w:rPr>
            </w:pPr>
            <w:r w:rsidRPr="007C7E28">
              <w:rPr>
                <w:rFonts w:eastAsiaTheme="minorHAnsi"/>
              </w:rPr>
              <w:t>Some resources dedicated to GIAs</w:t>
            </w:r>
          </w:p>
        </w:tc>
      </w:tr>
      <w:tr w:rsidR="00055213" w:rsidRPr="00D51855" w14:paraId="389F25A1" w14:textId="77777777" w:rsidTr="00156BED">
        <w:tc>
          <w:tcPr>
            <w:tcW w:w="952" w:type="dxa"/>
            <w:shd w:val="clear" w:color="auto" w:fill="auto"/>
          </w:tcPr>
          <w:p w14:paraId="0FFCA840" w14:textId="77777777" w:rsidR="00055213" w:rsidRPr="00156BED" w:rsidRDefault="00055213" w:rsidP="003E699B">
            <w:pPr>
              <w:pStyle w:val="Tabletext"/>
              <w:rPr>
                <w:b/>
                <w:bCs/>
              </w:rPr>
            </w:pPr>
            <w:r w:rsidRPr="00156BED">
              <w:rPr>
                <w:b/>
                <w:bCs/>
              </w:rPr>
              <w:t>Likely</w:t>
            </w:r>
          </w:p>
        </w:tc>
        <w:tc>
          <w:tcPr>
            <w:tcW w:w="5569" w:type="dxa"/>
          </w:tcPr>
          <w:p w14:paraId="6ACF5186" w14:textId="77777777" w:rsidR="00055213" w:rsidRPr="003B0D6D" w:rsidRDefault="00055213" w:rsidP="003E699B">
            <w:pPr>
              <w:pStyle w:val="Tablebullet1"/>
              <w:rPr>
                <w:rFonts w:eastAsiaTheme="minorHAnsi"/>
              </w:rPr>
            </w:pPr>
            <w:r w:rsidRPr="00D51855">
              <w:rPr>
                <w:rFonts w:eastAsiaTheme="minorHAnsi"/>
              </w:rPr>
              <w:t xml:space="preserve">Low or no previous engagement with </w:t>
            </w:r>
            <w:r>
              <w:rPr>
                <w:rFonts w:eastAsiaTheme="minorHAnsi"/>
              </w:rPr>
              <w:t>Commission</w:t>
            </w:r>
          </w:p>
          <w:p w14:paraId="2E777D50" w14:textId="77777777" w:rsidR="00055213" w:rsidRPr="00902B94" w:rsidRDefault="00055213" w:rsidP="003E699B">
            <w:pPr>
              <w:pStyle w:val="Tablebullet1"/>
              <w:rPr>
                <w:rFonts w:eastAsiaTheme="minorHAnsi"/>
              </w:rPr>
            </w:pPr>
            <w:r w:rsidRPr="003B0D6D">
              <w:rPr>
                <w:rFonts w:eastAsiaTheme="minorHAnsi"/>
              </w:rPr>
              <w:t>Past</w:t>
            </w:r>
            <w:r w:rsidRPr="00902B94">
              <w:rPr>
                <w:rFonts w:eastAsiaTheme="minorHAnsi"/>
              </w:rPr>
              <w:t xml:space="preserve"> non-compliance despite engagement </w:t>
            </w:r>
          </w:p>
          <w:p w14:paraId="390F34D0" w14:textId="77777777" w:rsidR="00055213" w:rsidRPr="00D51855" w:rsidRDefault="00055213" w:rsidP="003E699B">
            <w:pPr>
              <w:pStyle w:val="Tablebullet1"/>
              <w:rPr>
                <w:rFonts w:eastAsiaTheme="minorHAnsi"/>
              </w:rPr>
            </w:pPr>
            <w:r w:rsidRPr="003B0D6D">
              <w:rPr>
                <w:rFonts w:eastAsiaTheme="minorHAnsi"/>
              </w:rPr>
              <w:t xml:space="preserve">Known compliance issues in related areas (e.g. </w:t>
            </w:r>
            <w:r w:rsidRPr="00D51855">
              <w:rPr>
                <w:rFonts w:eastAsiaTheme="minorHAnsi"/>
              </w:rPr>
              <w:t xml:space="preserve">employment law) and/or </w:t>
            </w:r>
            <w:r>
              <w:rPr>
                <w:rFonts w:eastAsiaTheme="minorHAnsi"/>
              </w:rPr>
              <w:t>un</w:t>
            </w:r>
            <w:r w:rsidRPr="00D51855">
              <w:rPr>
                <w:rFonts w:eastAsiaTheme="minorHAnsi"/>
              </w:rPr>
              <w:t>favourable media or attention to issues (e.g. bullying or toxic workplace culture)</w:t>
            </w:r>
          </w:p>
          <w:p w14:paraId="1769E5BC" w14:textId="77777777" w:rsidR="00055213" w:rsidRDefault="00055213" w:rsidP="003E699B">
            <w:pPr>
              <w:pStyle w:val="Tablebullet1"/>
              <w:rPr>
                <w:rFonts w:eastAsiaTheme="minorEastAsia"/>
              </w:rPr>
            </w:pPr>
            <w:r w:rsidRPr="635CAD58">
              <w:rPr>
                <w:rFonts w:eastAsiaTheme="minorEastAsia"/>
              </w:rPr>
              <w:t>Suspected systemic gender equality issues internally</w:t>
            </w:r>
          </w:p>
          <w:p w14:paraId="549F0C6D" w14:textId="77777777" w:rsidR="00055213" w:rsidRDefault="00055213" w:rsidP="003E699B">
            <w:pPr>
              <w:pStyle w:val="Tablebullet1"/>
              <w:rPr>
                <w:rFonts w:eastAsiaTheme="minorHAnsi"/>
              </w:rPr>
            </w:pPr>
            <w:r w:rsidRPr="79C2E93B">
              <w:rPr>
                <w:rFonts w:eastAsiaTheme="minorEastAsia"/>
              </w:rPr>
              <w:t>Progress report indicates confusion about the goals of gender equality</w:t>
            </w:r>
          </w:p>
          <w:p w14:paraId="74AC9519" w14:textId="77777777" w:rsidR="00055213" w:rsidRDefault="00055213" w:rsidP="003E699B">
            <w:pPr>
              <w:pStyle w:val="Tablebullet1"/>
              <w:rPr>
                <w:rFonts w:eastAsiaTheme="minorHAnsi"/>
              </w:rPr>
            </w:pPr>
            <w:r w:rsidRPr="003B0D6D">
              <w:rPr>
                <w:rFonts w:eastAsiaTheme="minorHAnsi"/>
              </w:rPr>
              <w:t>Progress report demonstrates</w:t>
            </w:r>
            <w:r w:rsidRPr="009A3F01">
              <w:rPr>
                <w:rFonts w:eastAsiaTheme="minorHAnsi"/>
              </w:rPr>
              <w:t xml:space="preserve"> lack of capacity to link actions and strategies to gender equality</w:t>
            </w:r>
            <w:r>
              <w:rPr>
                <w:rFonts w:eastAsiaTheme="minorHAnsi"/>
              </w:rPr>
              <w:t xml:space="preserve"> issues in the workplace</w:t>
            </w:r>
          </w:p>
          <w:p w14:paraId="1BE0E8AE" w14:textId="77777777" w:rsidR="00055213" w:rsidRPr="00C00A55" w:rsidRDefault="00055213" w:rsidP="003E699B">
            <w:pPr>
              <w:pStyle w:val="Tablebullet1"/>
              <w:rPr>
                <w:rFonts w:eastAsiaTheme="minorHAnsi"/>
              </w:rPr>
            </w:pPr>
            <w:r w:rsidRPr="00D51855">
              <w:rPr>
                <w:rFonts w:eastAsiaTheme="minorHAnsi"/>
              </w:rPr>
              <w:t>Previous failure to report on GEAP</w:t>
            </w:r>
            <w:r>
              <w:rPr>
                <w:rFonts w:eastAsiaTheme="minorHAnsi"/>
              </w:rPr>
              <w:t>s</w:t>
            </w:r>
            <w:r w:rsidRPr="00D51855">
              <w:rPr>
                <w:rFonts w:eastAsiaTheme="minorHAnsi"/>
              </w:rPr>
              <w:t xml:space="preserve"> or no GIAs reported in progress reports and failure to provide justified reasoning</w:t>
            </w:r>
          </w:p>
        </w:tc>
        <w:tc>
          <w:tcPr>
            <w:tcW w:w="2693" w:type="dxa"/>
          </w:tcPr>
          <w:p w14:paraId="1E4B13C9" w14:textId="77777777" w:rsidR="00055213" w:rsidRPr="00D51855" w:rsidRDefault="00055213" w:rsidP="003E699B">
            <w:pPr>
              <w:pStyle w:val="Tablebullet1"/>
              <w:rPr>
                <w:rFonts w:eastAsiaTheme="minorHAnsi"/>
              </w:rPr>
            </w:pPr>
            <w:r w:rsidRPr="00D51855">
              <w:rPr>
                <w:rFonts w:eastAsiaTheme="minorHAnsi"/>
              </w:rPr>
              <w:t xml:space="preserve">Capability gap in understanding </w:t>
            </w:r>
            <w:r>
              <w:rPr>
                <w:rFonts w:eastAsiaTheme="minorHAnsi"/>
              </w:rPr>
              <w:t xml:space="preserve">how gender equality considerations relate </w:t>
            </w:r>
            <w:r w:rsidRPr="00D51855">
              <w:rPr>
                <w:rFonts w:eastAsiaTheme="minorHAnsi"/>
              </w:rPr>
              <w:t>to their service area</w:t>
            </w:r>
          </w:p>
          <w:p w14:paraId="4142BED1" w14:textId="77777777" w:rsidR="00055213" w:rsidRPr="00D51855" w:rsidRDefault="00055213" w:rsidP="003E699B">
            <w:pPr>
              <w:pStyle w:val="Tablebullet1"/>
              <w:rPr>
                <w:rFonts w:eastAsiaTheme="minorHAnsi"/>
              </w:rPr>
            </w:pPr>
            <w:r>
              <w:rPr>
                <w:rFonts w:eastAsiaTheme="minorEastAsia"/>
              </w:rPr>
              <w:t xml:space="preserve">Insufficient </w:t>
            </w:r>
            <w:r w:rsidRPr="66F6B531">
              <w:rPr>
                <w:rFonts w:eastAsiaTheme="minorEastAsia"/>
              </w:rPr>
              <w:t xml:space="preserve">resources </w:t>
            </w:r>
            <w:r w:rsidRPr="003B0D6D">
              <w:rPr>
                <w:rFonts w:eastAsiaTheme="minorEastAsia"/>
              </w:rPr>
              <w:t>dedicated to GIAs</w:t>
            </w:r>
          </w:p>
        </w:tc>
      </w:tr>
      <w:tr w:rsidR="00055213" w:rsidRPr="00D51855" w14:paraId="0B14C421" w14:textId="77777777" w:rsidTr="00156BED">
        <w:tc>
          <w:tcPr>
            <w:tcW w:w="952" w:type="dxa"/>
            <w:shd w:val="clear" w:color="auto" w:fill="auto"/>
          </w:tcPr>
          <w:p w14:paraId="4C7352D3" w14:textId="77777777" w:rsidR="00055213" w:rsidRPr="00156BED" w:rsidRDefault="00055213" w:rsidP="003E699B">
            <w:pPr>
              <w:pStyle w:val="Tabletext"/>
              <w:rPr>
                <w:b/>
                <w:bCs/>
              </w:rPr>
            </w:pPr>
            <w:r w:rsidRPr="00156BED">
              <w:rPr>
                <w:b/>
                <w:bCs/>
              </w:rPr>
              <w:t>Almost certain</w:t>
            </w:r>
          </w:p>
        </w:tc>
        <w:tc>
          <w:tcPr>
            <w:tcW w:w="5569" w:type="dxa"/>
          </w:tcPr>
          <w:p w14:paraId="7F3D5179" w14:textId="77777777" w:rsidR="00055213" w:rsidRPr="00D51855" w:rsidRDefault="00055213" w:rsidP="003E699B">
            <w:pPr>
              <w:pStyle w:val="Tablebullet1"/>
              <w:rPr>
                <w:rFonts w:eastAsiaTheme="minorHAnsi"/>
              </w:rPr>
            </w:pPr>
            <w:r w:rsidRPr="004447F6">
              <w:rPr>
                <w:rFonts w:eastAsiaTheme="minorHAnsi"/>
              </w:rPr>
              <w:t>Resistant</w:t>
            </w:r>
            <w:r>
              <w:rPr>
                <w:rFonts w:eastAsiaTheme="minorHAnsi"/>
              </w:rPr>
              <w:t xml:space="preserve"> to </w:t>
            </w:r>
            <w:r w:rsidRPr="004447F6">
              <w:rPr>
                <w:rFonts w:eastAsiaTheme="minorHAnsi"/>
              </w:rPr>
              <w:t>or avoid engaging</w:t>
            </w:r>
            <w:r w:rsidRPr="00D51855">
              <w:rPr>
                <w:rFonts w:eastAsiaTheme="minorHAnsi"/>
              </w:rPr>
              <w:t xml:space="preserve"> with </w:t>
            </w:r>
            <w:r>
              <w:rPr>
                <w:rFonts w:eastAsiaTheme="minorHAnsi"/>
              </w:rPr>
              <w:t>Commission</w:t>
            </w:r>
          </w:p>
          <w:p w14:paraId="6E6B9394" w14:textId="77777777" w:rsidR="00055213" w:rsidRPr="004447F6" w:rsidRDefault="00055213" w:rsidP="003E699B">
            <w:pPr>
              <w:pStyle w:val="Tablebullet1"/>
              <w:rPr>
                <w:rFonts w:eastAsiaTheme="minorHAnsi"/>
              </w:rPr>
            </w:pPr>
            <w:r w:rsidRPr="004447F6">
              <w:rPr>
                <w:rFonts w:eastAsiaTheme="minorHAnsi"/>
              </w:rPr>
              <w:t>Past</w:t>
            </w:r>
            <w:r w:rsidRPr="00D51855">
              <w:rPr>
                <w:rFonts w:eastAsiaTheme="minorHAnsi"/>
              </w:rPr>
              <w:t xml:space="preserve"> non-</w:t>
            </w:r>
            <w:r w:rsidRPr="004447F6">
              <w:rPr>
                <w:rFonts w:eastAsiaTheme="minorHAnsi"/>
              </w:rPr>
              <w:t>compliance</w:t>
            </w:r>
          </w:p>
          <w:p w14:paraId="30098216" w14:textId="77777777" w:rsidR="00055213" w:rsidRPr="00D51855" w:rsidRDefault="00055213" w:rsidP="003E699B">
            <w:pPr>
              <w:pStyle w:val="Tablebullet1"/>
              <w:rPr>
                <w:rFonts w:eastAsiaTheme="minorHAnsi"/>
              </w:rPr>
            </w:pPr>
            <w:r w:rsidRPr="004447F6">
              <w:rPr>
                <w:rFonts w:eastAsiaTheme="minorHAnsi"/>
              </w:rPr>
              <w:t>Non-compliance</w:t>
            </w:r>
            <w:r w:rsidRPr="00D51855">
              <w:rPr>
                <w:rFonts w:eastAsiaTheme="minorHAnsi"/>
              </w:rPr>
              <w:t xml:space="preserve"> in related areas </w:t>
            </w:r>
            <w:r w:rsidRPr="004447F6">
              <w:rPr>
                <w:rFonts w:eastAsiaTheme="minorHAnsi"/>
              </w:rPr>
              <w:t>and/</w:t>
            </w:r>
            <w:r w:rsidRPr="00D51855">
              <w:rPr>
                <w:rFonts w:eastAsiaTheme="minorHAnsi"/>
              </w:rPr>
              <w:t xml:space="preserve">or media exposing </w:t>
            </w:r>
            <w:r w:rsidRPr="004447F6">
              <w:rPr>
                <w:rFonts w:eastAsiaTheme="minorHAnsi"/>
              </w:rPr>
              <w:t>problematic</w:t>
            </w:r>
            <w:r w:rsidRPr="00D51855">
              <w:rPr>
                <w:rFonts w:eastAsiaTheme="minorHAnsi"/>
              </w:rPr>
              <w:t xml:space="preserve"> practices or culture</w:t>
            </w:r>
          </w:p>
          <w:p w14:paraId="77D0606D" w14:textId="77777777" w:rsidR="00055213" w:rsidRPr="00D51855" w:rsidRDefault="00055213" w:rsidP="003E699B">
            <w:pPr>
              <w:pStyle w:val="Tablebullet1"/>
              <w:rPr>
                <w:rFonts w:eastAsiaTheme="minorHAnsi"/>
              </w:rPr>
            </w:pPr>
            <w:r w:rsidRPr="00D51855">
              <w:rPr>
                <w:rFonts w:eastAsiaTheme="minorHAnsi"/>
              </w:rPr>
              <w:t xml:space="preserve">Known systemic </w:t>
            </w:r>
            <w:r>
              <w:rPr>
                <w:rFonts w:eastAsiaTheme="minorHAnsi"/>
              </w:rPr>
              <w:t>gender equality</w:t>
            </w:r>
            <w:r w:rsidRPr="00D51855">
              <w:rPr>
                <w:rFonts w:eastAsiaTheme="minorHAnsi"/>
              </w:rPr>
              <w:t xml:space="preserve"> issues internally (e.g. dispute resolution application)</w:t>
            </w:r>
          </w:p>
        </w:tc>
        <w:tc>
          <w:tcPr>
            <w:tcW w:w="2693" w:type="dxa"/>
          </w:tcPr>
          <w:p w14:paraId="10103F05" w14:textId="77777777" w:rsidR="00055213" w:rsidRPr="00C00A55" w:rsidRDefault="00055213" w:rsidP="003E699B">
            <w:pPr>
              <w:pStyle w:val="Tablebullet1"/>
              <w:rPr>
                <w:rFonts w:eastAsiaTheme="minorEastAsia"/>
              </w:rPr>
            </w:pPr>
            <w:r w:rsidRPr="66F6B531">
              <w:rPr>
                <w:rFonts w:eastAsiaTheme="minorEastAsia"/>
              </w:rPr>
              <w:t xml:space="preserve">Overt </w:t>
            </w:r>
            <w:r>
              <w:rPr>
                <w:rFonts w:eastAsiaTheme="minorEastAsia"/>
              </w:rPr>
              <w:t>resistance</w:t>
            </w:r>
            <w:r w:rsidRPr="66F6B531">
              <w:rPr>
                <w:rFonts w:eastAsiaTheme="minorEastAsia"/>
              </w:rPr>
              <w:t xml:space="preserve"> towards gender equality initiatives</w:t>
            </w:r>
          </w:p>
          <w:p w14:paraId="5A4E5B63" w14:textId="77777777" w:rsidR="00055213" w:rsidRPr="00D51855" w:rsidRDefault="00055213" w:rsidP="003E699B">
            <w:pPr>
              <w:pStyle w:val="Tablebullet1"/>
              <w:rPr>
                <w:rFonts w:eastAsiaTheme="minorEastAsia"/>
              </w:rPr>
            </w:pPr>
            <w:r>
              <w:rPr>
                <w:rFonts w:eastAsiaTheme="minorEastAsia"/>
              </w:rPr>
              <w:t xml:space="preserve">No resources dedicated </w:t>
            </w:r>
            <w:r w:rsidRPr="004447F6">
              <w:rPr>
                <w:rFonts w:eastAsiaTheme="minorEastAsia"/>
              </w:rPr>
              <w:t>to</w:t>
            </w:r>
            <w:r>
              <w:rPr>
                <w:rFonts w:eastAsiaTheme="minorEastAsia"/>
              </w:rPr>
              <w:t xml:space="preserve"> completing GIAs</w:t>
            </w:r>
          </w:p>
        </w:tc>
      </w:tr>
    </w:tbl>
    <w:p w14:paraId="5135D0DA" w14:textId="77777777" w:rsidR="00055213" w:rsidRPr="00494EC8" w:rsidRDefault="00055213" w:rsidP="003E699B">
      <w:pPr>
        <w:pStyle w:val="Bodyaftertablefigure"/>
      </w:pPr>
      <w:r w:rsidRPr="00494EC8">
        <w:t xml:space="preserve">Table 2 provides </w:t>
      </w:r>
      <w:r>
        <w:t xml:space="preserve">guidance on the </w:t>
      </w:r>
      <w:r w:rsidRPr="00494EC8">
        <w:t xml:space="preserve">consequences of non-compliance. </w:t>
      </w:r>
    </w:p>
    <w:p w14:paraId="189A2406" w14:textId="77777777" w:rsidR="00055213" w:rsidRPr="00494EC8" w:rsidRDefault="00055213" w:rsidP="003E699B">
      <w:pPr>
        <w:pStyle w:val="Body"/>
      </w:pPr>
      <w:r w:rsidRPr="00494EC8">
        <w:t>Even when the likelihood of non-compliance is low, if the consequences are severe, more regulatory effort will be directed to ensure risks are managed.</w:t>
      </w:r>
    </w:p>
    <w:p w14:paraId="6C64B213" w14:textId="77777777" w:rsidR="00055213" w:rsidRPr="00D51855" w:rsidRDefault="00055213" w:rsidP="003E699B">
      <w:pPr>
        <w:pStyle w:val="Tablecaption"/>
      </w:pPr>
      <w:r>
        <w:t xml:space="preserve">Table 2: Scale of consequences of non-compliance </w:t>
      </w:r>
    </w:p>
    <w:tbl>
      <w:tblPr>
        <w:tblStyle w:val="TableGrid"/>
        <w:tblW w:w="9211" w:type="dxa"/>
        <w:tblInd w:w="-5" w:type="dxa"/>
        <w:tblLook w:val="04A0" w:firstRow="1" w:lastRow="0" w:firstColumn="1" w:lastColumn="0" w:noHBand="0" w:noVBand="1"/>
      </w:tblPr>
      <w:tblGrid>
        <w:gridCol w:w="1286"/>
        <w:gridCol w:w="1981"/>
        <w:gridCol w:w="1981"/>
        <w:gridCol w:w="1981"/>
        <w:gridCol w:w="1982"/>
      </w:tblGrid>
      <w:tr w:rsidR="00055213" w:rsidRPr="00D51855" w14:paraId="0EBDEE57" w14:textId="77777777" w:rsidTr="003E699B">
        <w:trPr>
          <w:trHeight w:val="361"/>
          <w:tblHeader/>
        </w:trPr>
        <w:tc>
          <w:tcPr>
            <w:tcW w:w="1286" w:type="dxa"/>
            <w:shd w:val="clear" w:color="auto" w:fill="auto"/>
          </w:tcPr>
          <w:p w14:paraId="6E107012" w14:textId="77777777" w:rsidR="00055213" w:rsidRPr="00E92A47" w:rsidRDefault="00055213" w:rsidP="00E92A47">
            <w:pPr>
              <w:pStyle w:val="Tablecolhead"/>
            </w:pPr>
            <w:r w:rsidRPr="00E92A47">
              <w:t>Type of harm</w:t>
            </w:r>
          </w:p>
        </w:tc>
        <w:tc>
          <w:tcPr>
            <w:tcW w:w="1981" w:type="dxa"/>
            <w:shd w:val="clear" w:color="auto" w:fill="auto"/>
          </w:tcPr>
          <w:p w14:paraId="07A85568" w14:textId="16BBE150" w:rsidR="00055213" w:rsidRPr="00E92A47" w:rsidRDefault="00E92A47" w:rsidP="00E92A47">
            <w:pPr>
              <w:pStyle w:val="Tablecolhead"/>
            </w:pPr>
            <w:r w:rsidRPr="00E92A47">
              <w:t>Mino</w:t>
            </w:r>
            <w:r>
              <w:t>r</w:t>
            </w:r>
          </w:p>
        </w:tc>
        <w:tc>
          <w:tcPr>
            <w:tcW w:w="1981" w:type="dxa"/>
            <w:shd w:val="clear" w:color="auto" w:fill="auto"/>
          </w:tcPr>
          <w:p w14:paraId="5FE13BCA" w14:textId="47C94AF6" w:rsidR="00055213" w:rsidRPr="00E92A47" w:rsidRDefault="00E92A47" w:rsidP="00E92A47">
            <w:pPr>
              <w:pStyle w:val="Tablecolhead"/>
            </w:pPr>
            <w:r w:rsidRPr="00E92A47">
              <w:t>Medium</w:t>
            </w:r>
          </w:p>
        </w:tc>
        <w:tc>
          <w:tcPr>
            <w:tcW w:w="1981" w:type="dxa"/>
            <w:shd w:val="clear" w:color="auto" w:fill="auto"/>
          </w:tcPr>
          <w:p w14:paraId="5EBF9962" w14:textId="3BEE3945" w:rsidR="00055213" w:rsidRPr="00E92A47" w:rsidRDefault="00E92A47" w:rsidP="00E92A47">
            <w:pPr>
              <w:pStyle w:val="Tablecolhead"/>
            </w:pPr>
            <w:r w:rsidRPr="00E92A47">
              <w:t>Major</w:t>
            </w:r>
          </w:p>
        </w:tc>
        <w:tc>
          <w:tcPr>
            <w:tcW w:w="1982" w:type="dxa"/>
            <w:shd w:val="clear" w:color="auto" w:fill="auto"/>
          </w:tcPr>
          <w:p w14:paraId="776C3F1B" w14:textId="698DBA33" w:rsidR="00055213" w:rsidRPr="00E92A47" w:rsidRDefault="00E92A47" w:rsidP="00E92A47">
            <w:pPr>
              <w:pStyle w:val="Tablecolhead"/>
            </w:pPr>
            <w:r w:rsidRPr="00E92A47">
              <w:t>Severe</w:t>
            </w:r>
          </w:p>
        </w:tc>
      </w:tr>
      <w:tr w:rsidR="00055213" w:rsidRPr="00D51855" w14:paraId="7B6321A6" w14:textId="77777777" w:rsidTr="003E699B">
        <w:trPr>
          <w:trHeight w:val="1244"/>
        </w:trPr>
        <w:tc>
          <w:tcPr>
            <w:tcW w:w="1286" w:type="dxa"/>
            <w:shd w:val="clear" w:color="auto" w:fill="auto"/>
          </w:tcPr>
          <w:p w14:paraId="276D3914" w14:textId="77777777" w:rsidR="00055213" w:rsidRPr="003E699B" w:rsidRDefault="00055213" w:rsidP="003E699B">
            <w:pPr>
              <w:pStyle w:val="Tabletext"/>
              <w:rPr>
                <w:b/>
                <w:bCs/>
              </w:rPr>
            </w:pPr>
            <w:r w:rsidRPr="003E699B">
              <w:rPr>
                <w:b/>
                <w:bCs/>
              </w:rPr>
              <w:t>Cultural and social</w:t>
            </w:r>
          </w:p>
        </w:tc>
        <w:tc>
          <w:tcPr>
            <w:tcW w:w="1981" w:type="dxa"/>
          </w:tcPr>
          <w:p w14:paraId="243373F5" w14:textId="77777777" w:rsidR="00055213" w:rsidRPr="00D51855" w:rsidRDefault="00055213" w:rsidP="003E699B">
            <w:pPr>
              <w:pStyle w:val="Tabletext"/>
            </w:pPr>
            <w:r w:rsidRPr="00D51855">
              <w:t xml:space="preserve">Lack of equitable representation of </w:t>
            </w:r>
            <w:r>
              <w:t>people of different</w:t>
            </w:r>
            <w:r w:rsidRPr="00D51855">
              <w:t xml:space="preserve"> genders </w:t>
            </w:r>
            <w:r w:rsidRPr="00D51855">
              <w:lastRenderedPageBreak/>
              <w:t>contributing to invisibility</w:t>
            </w:r>
          </w:p>
        </w:tc>
        <w:tc>
          <w:tcPr>
            <w:tcW w:w="1981" w:type="dxa"/>
          </w:tcPr>
          <w:p w14:paraId="64F4409D" w14:textId="77777777" w:rsidR="00055213" w:rsidRPr="00D51855" w:rsidRDefault="00055213" w:rsidP="003E699B">
            <w:pPr>
              <w:pStyle w:val="Tabletext"/>
            </w:pPr>
            <w:r w:rsidRPr="00D51855">
              <w:lastRenderedPageBreak/>
              <w:t xml:space="preserve">Failure to recognise </w:t>
            </w:r>
            <w:r>
              <w:t xml:space="preserve">how people of different genders experience and </w:t>
            </w:r>
            <w:r>
              <w:lastRenderedPageBreak/>
              <w:t>access the workplace, community services and programs</w:t>
            </w:r>
            <w:r w:rsidRPr="000D26A8">
              <w:t xml:space="preserve"> that</w:t>
            </w:r>
          </w:p>
          <w:p w14:paraId="095FB33C" w14:textId="77777777" w:rsidR="00055213" w:rsidRPr="00D51855" w:rsidRDefault="00055213" w:rsidP="003E699B">
            <w:pPr>
              <w:pStyle w:val="Tabletext"/>
            </w:pPr>
            <w:r w:rsidRPr="00D51855">
              <w:t>contribute</w:t>
            </w:r>
            <w:r>
              <w:t>s</w:t>
            </w:r>
            <w:r w:rsidRPr="00D51855">
              <w:t xml:space="preserve"> to engagement</w:t>
            </w:r>
            <w:r>
              <w:t xml:space="preserve"> gaps</w:t>
            </w:r>
          </w:p>
        </w:tc>
        <w:tc>
          <w:tcPr>
            <w:tcW w:w="1981" w:type="dxa"/>
          </w:tcPr>
          <w:p w14:paraId="376BC35D" w14:textId="77777777" w:rsidR="00055213" w:rsidRPr="00D51855" w:rsidRDefault="00055213" w:rsidP="003E699B">
            <w:pPr>
              <w:pStyle w:val="Tabletext"/>
            </w:pPr>
            <w:r>
              <w:lastRenderedPageBreak/>
              <w:t xml:space="preserve">Barriers to participation by people of different genders persist in the workplace, </w:t>
            </w:r>
            <w:r>
              <w:lastRenderedPageBreak/>
              <w:t>community service or program design, and decision-making</w:t>
            </w:r>
          </w:p>
        </w:tc>
        <w:tc>
          <w:tcPr>
            <w:tcW w:w="1982" w:type="dxa"/>
          </w:tcPr>
          <w:p w14:paraId="3C3293F6" w14:textId="77777777" w:rsidR="00055213" w:rsidRPr="00D51855" w:rsidRDefault="00055213" w:rsidP="003E699B">
            <w:pPr>
              <w:pStyle w:val="Tabletext"/>
            </w:pPr>
            <w:r w:rsidRPr="79C2E93B">
              <w:lastRenderedPageBreak/>
              <w:t xml:space="preserve">Active exclusion </w:t>
            </w:r>
            <w:r>
              <w:t xml:space="preserve">of people of different genders in the workplace, or in the way </w:t>
            </w:r>
            <w:r>
              <w:lastRenderedPageBreak/>
              <w:t>community policies, programs or services are designed and delivered</w:t>
            </w:r>
          </w:p>
        </w:tc>
      </w:tr>
      <w:tr w:rsidR="00055213" w:rsidRPr="00D51855" w14:paraId="4C4F9287" w14:textId="77777777" w:rsidTr="003E699B">
        <w:trPr>
          <w:trHeight w:val="1579"/>
        </w:trPr>
        <w:tc>
          <w:tcPr>
            <w:tcW w:w="1286" w:type="dxa"/>
            <w:shd w:val="clear" w:color="auto" w:fill="auto"/>
          </w:tcPr>
          <w:p w14:paraId="250EE2FB" w14:textId="77777777" w:rsidR="00055213" w:rsidRPr="003E699B" w:rsidRDefault="00055213" w:rsidP="003E699B">
            <w:pPr>
              <w:pStyle w:val="Tabletext"/>
              <w:rPr>
                <w:b/>
                <w:bCs/>
              </w:rPr>
            </w:pPr>
            <w:r w:rsidRPr="003E699B">
              <w:rPr>
                <w:b/>
                <w:bCs/>
              </w:rPr>
              <w:lastRenderedPageBreak/>
              <w:t>Economic</w:t>
            </w:r>
          </w:p>
        </w:tc>
        <w:tc>
          <w:tcPr>
            <w:tcW w:w="1981" w:type="dxa"/>
          </w:tcPr>
          <w:p w14:paraId="47266C75" w14:textId="77777777" w:rsidR="00055213" w:rsidRPr="006174F6" w:rsidRDefault="00055213" w:rsidP="003E699B">
            <w:pPr>
              <w:pStyle w:val="Tabletext"/>
            </w:pPr>
            <w:r w:rsidRPr="006204F3">
              <w:t>Minor</w:t>
            </w:r>
            <w:r w:rsidRPr="00D51855">
              <w:t xml:space="preserve"> impact on achieving fair economic outcomes for </w:t>
            </w:r>
            <w:r>
              <w:t>people of different genders</w:t>
            </w:r>
          </w:p>
        </w:tc>
        <w:tc>
          <w:tcPr>
            <w:tcW w:w="1981" w:type="dxa"/>
          </w:tcPr>
          <w:p w14:paraId="281BA3F7" w14:textId="77777777" w:rsidR="00055213" w:rsidRPr="00D51855" w:rsidRDefault="00055213" w:rsidP="003E699B">
            <w:pPr>
              <w:pStyle w:val="Tabletext"/>
            </w:pPr>
            <w:r w:rsidRPr="006204F3">
              <w:t>Some</w:t>
            </w:r>
            <w:r w:rsidRPr="00D51855">
              <w:t xml:space="preserve"> barriers to economic participation and fair economic outcomes</w:t>
            </w:r>
            <w:r>
              <w:t xml:space="preserve"> for people of different genders</w:t>
            </w:r>
          </w:p>
        </w:tc>
        <w:tc>
          <w:tcPr>
            <w:tcW w:w="1981" w:type="dxa"/>
          </w:tcPr>
          <w:p w14:paraId="476DFDF1" w14:textId="77777777" w:rsidR="00055213" w:rsidRPr="006174F6" w:rsidRDefault="00055213" w:rsidP="003E699B">
            <w:pPr>
              <w:pStyle w:val="Tabletext"/>
            </w:pPr>
            <w:r w:rsidRPr="00D51855">
              <w:t xml:space="preserve">Reinforces unequal economic status between </w:t>
            </w:r>
            <w:r>
              <w:t xml:space="preserve">people of </w:t>
            </w:r>
            <w:r w:rsidRPr="00D51855">
              <w:t>different genders</w:t>
            </w:r>
          </w:p>
        </w:tc>
        <w:tc>
          <w:tcPr>
            <w:tcW w:w="1982" w:type="dxa"/>
          </w:tcPr>
          <w:p w14:paraId="61B3DDC4" w14:textId="77777777" w:rsidR="00055213" w:rsidRPr="00D51855" w:rsidRDefault="00055213" w:rsidP="003E699B">
            <w:pPr>
              <w:pStyle w:val="Tabletext"/>
            </w:pPr>
            <w:r>
              <w:t>D</w:t>
            </w:r>
            <w:r w:rsidRPr="00D51855">
              <w:t xml:space="preserve">irectly drives unequal economic outcomes for </w:t>
            </w:r>
            <w:r>
              <w:t xml:space="preserve">people of </w:t>
            </w:r>
            <w:r w:rsidRPr="00D51855">
              <w:t>different genders</w:t>
            </w:r>
          </w:p>
        </w:tc>
      </w:tr>
      <w:tr w:rsidR="00055213" w:rsidRPr="00D51855" w14:paraId="52CEAD3F" w14:textId="77777777" w:rsidTr="003E699B">
        <w:trPr>
          <w:trHeight w:val="1861"/>
        </w:trPr>
        <w:tc>
          <w:tcPr>
            <w:tcW w:w="1286" w:type="dxa"/>
            <w:shd w:val="clear" w:color="auto" w:fill="auto"/>
          </w:tcPr>
          <w:p w14:paraId="23B51538" w14:textId="77777777" w:rsidR="00055213" w:rsidRPr="003E699B" w:rsidRDefault="00055213" w:rsidP="003E699B">
            <w:pPr>
              <w:pStyle w:val="Tabletext"/>
              <w:rPr>
                <w:b/>
                <w:bCs/>
              </w:rPr>
            </w:pPr>
            <w:r w:rsidRPr="003E699B">
              <w:rPr>
                <w:b/>
                <w:bCs/>
              </w:rPr>
              <w:t>Health &amp; safety</w:t>
            </w:r>
          </w:p>
        </w:tc>
        <w:tc>
          <w:tcPr>
            <w:tcW w:w="1981" w:type="dxa"/>
          </w:tcPr>
          <w:p w14:paraId="74FBC674" w14:textId="77777777" w:rsidR="00055213" w:rsidRPr="00D51855" w:rsidRDefault="00055213" w:rsidP="003E699B">
            <w:pPr>
              <w:pStyle w:val="Tabletext"/>
            </w:pPr>
            <w:r w:rsidRPr="00D51855">
              <w:t xml:space="preserve">Experience of unease or discomfort </w:t>
            </w:r>
            <w:r>
              <w:t>for people of different genders</w:t>
            </w:r>
            <w:r w:rsidRPr="00D51855">
              <w:t xml:space="preserve"> but does not reduce participation in or access to </w:t>
            </w:r>
            <w:r>
              <w:t>services</w:t>
            </w:r>
            <w:r w:rsidRPr="00D51855">
              <w:t xml:space="preserve"> or </w:t>
            </w:r>
            <w:r>
              <w:t xml:space="preserve">the </w:t>
            </w:r>
            <w:r w:rsidRPr="00D51855">
              <w:t>workplace</w:t>
            </w:r>
          </w:p>
        </w:tc>
        <w:tc>
          <w:tcPr>
            <w:tcW w:w="1981" w:type="dxa"/>
          </w:tcPr>
          <w:p w14:paraId="79F94A6C" w14:textId="77777777" w:rsidR="00055213" w:rsidRPr="00D51855" w:rsidRDefault="00055213" w:rsidP="003E699B">
            <w:pPr>
              <w:pStyle w:val="Tabletext"/>
            </w:pPr>
            <w:r w:rsidRPr="00D51855">
              <w:t xml:space="preserve">Experience of disrespect, discomfort, </w:t>
            </w:r>
            <w:r>
              <w:t xml:space="preserve">risk to physical or psychological safety, </w:t>
            </w:r>
            <w:r w:rsidRPr="00D51855">
              <w:t>or exclusion means that people</w:t>
            </w:r>
            <w:r>
              <w:t xml:space="preserve"> of different genders</w:t>
            </w:r>
            <w:r>
              <w:rPr>
                <w:rFonts w:ascii="Cambria" w:hAnsi="Cambria" w:cs="Cambria"/>
              </w:rPr>
              <w:t xml:space="preserve"> </w:t>
            </w:r>
            <w:r w:rsidRPr="00D51855">
              <w:t>don</w:t>
            </w:r>
            <w:r w:rsidRPr="00D51855">
              <w:rPr>
                <w:rFonts w:cs="VIC"/>
              </w:rPr>
              <w:t>’</w:t>
            </w:r>
            <w:r w:rsidRPr="00D51855">
              <w:t xml:space="preserve">t participate equally, or </w:t>
            </w:r>
            <w:r>
              <w:t>as fully and may need</w:t>
            </w:r>
            <w:r w:rsidRPr="00D51855">
              <w:t xml:space="preserve"> to take protective actions</w:t>
            </w:r>
          </w:p>
        </w:tc>
        <w:tc>
          <w:tcPr>
            <w:tcW w:w="1981" w:type="dxa"/>
          </w:tcPr>
          <w:p w14:paraId="6BA8FBDB" w14:textId="77777777" w:rsidR="00055213" w:rsidRPr="00D51855" w:rsidRDefault="00055213" w:rsidP="003E699B">
            <w:pPr>
              <w:pStyle w:val="Tabletext"/>
            </w:pPr>
            <w:r w:rsidRPr="00D51855">
              <w:t xml:space="preserve">Failure to </w:t>
            </w:r>
            <w:r>
              <w:t>consider physical and psychological health and safety risks and needs based on</w:t>
            </w:r>
            <w:r w:rsidRPr="00D51855">
              <w:t xml:space="preserve"> gender</w:t>
            </w:r>
            <w:r>
              <w:t xml:space="preserve"> excludes people of different genders.</w:t>
            </w:r>
          </w:p>
        </w:tc>
        <w:tc>
          <w:tcPr>
            <w:tcW w:w="1982" w:type="dxa"/>
          </w:tcPr>
          <w:p w14:paraId="4CD2ECAE" w14:textId="77777777" w:rsidR="00055213" w:rsidRPr="00D51855" w:rsidRDefault="00055213" w:rsidP="003E699B">
            <w:pPr>
              <w:pStyle w:val="Tabletext"/>
            </w:pPr>
            <w:r>
              <w:t>P</w:t>
            </w:r>
            <w:r w:rsidRPr="00D51855">
              <w:t xml:space="preserve">olicies, practices and culture enable harassment, discrimination, marginalisation, physical </w:t>
            </w:r>
            <w:r>
              <w:t xml:space="preserve">or psychological harm, </w:t>
            </w:r>
            <w:r w:rsidRPr="00D51855">
              <w:t xml:space="preserve">violence </w:t>
            </w:r>
            <w:r>
              <w:t>or</w:t>
            </w:r>
            <w:r w:rsidRPr="00D51855">
              <w:t xml:space="preserve"> trauma </w:t>
            </w:r>
            <w:r>
              <w:t>that significantly impacts people of different genders</w:t>
            </w:r>
          </w:p>
        </w:tc>
      </w:tr>
    </w:tbl>
    <w:p w14:paraId="5DD92227" w14:textId="77777777" w:rsidR="00055213" w:rsidRPr="00904DD4" w:rsidRDefault="00055213" w:rsidP="00055213">
      <w:pPr>
        <w:pStyle w:val="Heading1"/>
      </w:pPr>
      <w:bookmarkStart w:id="28" w:name="_Toc158289171"/>
      <w:bookmarkStart w:id="29" w:name="_Toc192071634"/>
      <w:bookmarkStart w:id="30" w:name="_Toc193702997"/>
      <w:bookmarkStart w:id="31" w:name="_Toc188276071"/>
      <w:r w:rsidRPr="00904DD4">
        <w:t xml:space="preserve">Our regulatory </w:t>
      </w:r>
      <w:bookmarkEnd w:id="28"/>
      <w:r w:rsidRPr="00904DD4">
        <w:t>tools</w:t>
      </w:r>
      <w:bookmarkEnd w:id="29"/>
      <w:bookmarkEnd w:id="30"/>
    </w:p>
    <w:p w14:paraId="6E000AF5" w14:textId="77777777" w:rsidR="00055213" w:rsidRPr="00904DD4" w:rsidRDefault="00055213" w:rsidP="00E92A47">
      <w:pPr>
        <w:pStyle w:val="Body"/>
      </w:pPr>
      <w:r w:rsidRPr="00904DD4">
        <w:t>We are working towards cultural change. We place a strong emphasis on supporting duty holders to comply.</w:t>
      </w:r>
    </w:p>
    <w:p w14:paraId="12B13C36" w14:textId="77777777" w:rsidR="00055213" w:rsidRPr="00904DD4" w:rsidRDefault="00055213" w:rsidP="00E92A47">
      <w:pPr>
        <w:pStyle w:val="Body"/>
      </w:pPr>
      <w:r w:rsidRPr="2DFD98EC">
        <w:t>Action to address n</w:t>
      </w:r>
      <w:r w:rsidRPr="00904DD4">
        <w:t>on-compliance is graduated</w:t>
      </w:r>
      <w:r>
        <w:t>. I</w:t>
      </w:r>
      <w:r w:rsidRPr="00904DD4">
        <w:t>n most cases, we will encourage compliance through guidance and advice. More significant enforcement sanctions are used for duty holders that are uncooperative or have repeated or serious compliance</w:t>
      </w:r>
      <w:r>
        <w:t xml:space="preserve"> concerns</w:t>
      </w:r>
      <w:r w:rsidRPr="00904DD4">
        <w:t>.</w:t>
      </w:r>
    </w:p>
    <w:p w14:paraId="345FA9FA" w14:textId="77777777" w:rsidR="00055213" w:rsidRDefault="00055213" w:rsidP="00E92A47">
      <w:pPr>
        <w:pStyle w:val="Heading2"/>
      </w:pPr>
      <w:bookmarkStart w:id="32" w:name="_Toc193702998"/>
      <w:r w:rsidRPr="00904DD4">
        <w:t>Hierarchy of regulatory activities</w:t>
      </w:r>
      <w:bookmarkEnd w:id="32"/>
    </w:p>
    <w:tbl>
      <w:tblPr>
        <w:tblStyle w:val="TableGrid"/>
        <w:tblW w:w="9355" w:type="dxa"/>
        <w:tblInd w:w="-10" w:type="dxa"/>
        <w:tblLayout w:type="fixed"/>
        <w:tblLook w:val="04A0" w:firstRow="1" w:lastRow="0" w:firstColumn="1" w:lastColumn="0" w:noHBand="0" w:noVBand="1"/>
      </w:tblPr>
      <w:tblGrid>
        <w:gridCol w:w="1706"/>
        <w:gridCol w:w="3113"/>
        <w:gridCol w:w="4536"/>
      </w:tblGrid>
      <w:tr w:rsidR="00055213" w:rsidRPr="009E02E6" w14:paraId="0D7D5248" w14:textId="77777777" w:rsidTr="000C0D57">
        <w:trPr>
          <w:tblHeader/>
        </w:trPr>
        <w:tc>
          <w:tcPr>
            <w:tcW w:w="1706" w:type="dxa"/>
            <w:tcBorders>
              <w:left w:val="single" w:sz="4" w:space="0" w:color="auto"/>
            </w:tcBorders>
            <w:shd w:val="clear" w:color="auto" w:fill="auto"/>
          </w:tcPr>
          <w:p w14:paraId="5508A4CD" w14:textId="77777777" w:rsidR="00055213" w:rsidRPr="009E02E6" w:rsidRDefault="00055213" w:rsidP="000C0D57">
            <w:pPr>
              <w:rPr>
                <w:b/>
                <w:bCs/>
              </w:rPr>
            </w:pPr>
            <w:r w:rsidRPr="009E02E6">
              <w:rPr>
                <w:b/>
                <w:bCs/>
              </w:rPr>
              <w:t>Approach</w:t>
            </w:r>
          </w:p>
        </w:tc>
        <w:tc>
          <w:tcPr>
            <w:tcW w:w="3113" w:type="dxa"/>
            <w:shd w:val="clear" w:color="auto" w:fill="auto"/>
          </w:tcPr>
          <w:p w14:paraId="47A7232A" w14:textId="77777777" w:rsidR="00055213" w:rsidRPr="009E02E6" w:rsidRDefault="00055213" w:rsidP="000C0D57">
            <w:pPr>
              <w:rPr>
                <w:b/>
                <w:bCs/>
              </w:rPr>
            </w:pPr>
            <w:r w:rsidRPr="009E02E6">
              <w:rPr>
                <w:b/>
                <w:bCs/>
              </w:rPr>
              <w:t>What it looks like</w:t>
            </w:r>
          </w:p>
        </w:tc>
        <w:tc>
          <w:tcPr>
            <w:tcW w:w="4536" w:type="dxa"/>
            <w:shd w:val="clear" w:color="auto" w:fill="auto"/>
          </w:tcPr>
          <w:p w14:paraId="71FCE22A" w14:textId="77777777" w:rsidR="00055213" w:rsidRPr="009E02E6" w:rsidRDefault="00055213" w:rsidP="000C0D57">
            <w:pPr>
              <w:rPr>
                <w:b/>
                <w:bCs/>
              </w:rPr>
            </w:pPr>
            <w:r w:rsidRPr="009E02E6">
              <w:rPr>
                <w:b/>
                <w:bCs/>
              </w:rPr>
              <w:t>Examples</w:t>
            </w:r>
          </w:p>
        </w:tc>
      </w:tr>
      <w:tr w:rsidR="00055213" w:rsidRPr="009E02E6" w14:paraId="5175EC35" w14:textId="77777777" w:rsidTr="000C0D57">
        <w:tc>
          <w:tcPr>
            <w:tcW w:w="1706" w:type="dxa"/>
            <w:tcBorders>
              <w:left w:val="single" w:sz="4" w:space="0" w:color="auto"/>
              <w:bottom w:val="single" w:sz="4" w:space="0" w:color="auto"/>
            </w:tcBorders>
            <w:shd w:val="clear" w:color="auto" w:fill="auto"/>
          </w:tcPr>
          <w:p w14:paraId="1BCA52B9" w14:textId="77777777" w:rsidR="00055213" w:rsidRPr="009E02E6" w:rsidRDefault="00055213" w:rsidP="000C0D57">
            <w:pPr>
              <w:rPr>
                <w:b/>
                <w:bCs/>
              </w:rPr>
            </w:pPr>
            <w:r w:rsidRPr="002B563E">
              <w:rPr>
                <w:b/>
                <w:bCs/>
              </w:rPr>
              <w:t>Communicate</w:t>
            </w:r>
          </w:p>
        </w:tc>
        <w:tc>
          <w:tcPr>
            <w:tcW w:w="3113" w:type="dxa"/>
            <w:shd w:val="clear" w:color="auto" w:fill="auto"/>
          </w:tcPr>
          <w:p w14:paraId="3BD45062" w14:textId="77777777" w:rsidR="00055213" w:rsidRPr="009E02E6" w:rsidRDefault="00055213" w:rsidP="000C0D57">
            <w:r w:rsidRPr="009E02E6">
              <w:t xml:space="preserve">We communicate and </w:t>
            </w:r>
            <w:r w:rsidRPr="00E1717B">
              <w:t>share information with</w:t>
            </w:r>
            <w:r w:rsidRPr="009E02E6">
              <w:t xml:space="preserve"> duty holders on why gender equality is important and what works to improve it</w:t>
            </w:r>
          </w:p>
        </w:tc>
        <w:tc>
          <w:tcPr>
            <w:tcW w:w="4536" w:type="dxa"/>
          </w:tcPr>
          <w:p w14:paraId="5B1C9CE3" w14:textId="77777777" w:rsidR="00055213" w:rsidRPr="009E02E6" w:rsidRDefault="00055213" w:rsidP="00F31D48">
            <w:pPr>
              <w:pStyle w:val="Tablebullet1"/>
            </w:pPr>
            <w:r>
              <w:t xml:space="preserve">Commissioner and staff </w:t>
            </w:r>
            <w:r w:rsidRPr="00E1717B">
              <w:t>meetings with</w:t>
            </w:r>
            <w:r>
              <w:t xml:space="preserve"> duty </w:t>
            </w:r>
            <w:r w:rsidRPr="00E1717B">
              <w:t>holders</w:t>
            </w:r>
          </w:p>
          <w:p w14:paraId="73BB8FC5" w14:textId="77777777" w:rsidR="00055213" w:rsidRPr="009E02E6" w:rsidRDefault="00055213" w:rsidP="00F31D48">
            <w:pPr>
              <w:pStyle w:val="Tablebullet1"/>
            </w:pPr>
            <w:r w:rsidRPr="009E02E6">
              <w:t xml:space="preserve">Supporting </w:t>
            </w:r>
            <w:r>
              <w:t>c</w:t>
            </w:r>
            <w:r w:rsidRPr="009E02E6">
              <w:t>ommunities of practice to encourage peer education</w:t>
            </w:r>
          </w:p>
          <w:p w14:paraId="7D877A90" w14:textId="77777777" w:rsidR="00055213" w:rsidRPr="009E02E6" w:rsidRDefault="00055213" w:rsidP="00F31D48">
            <w:pPr>
              <w:pStyle w:val="Tablebullet1"/>
            </w:pPr>
            <w:r w:rsidRPr="009E02E6">
              <w:t xml:space="preserve">Conducting research or partnering with </w:t>
            </w:r>
            <w:r w:rsidRPr="00E1717B">
              <w:t>research</w:t>
            </w:r>
            <w:r>
              <w:t>ers</w:t>
            </w:r>
            <w:r w:rsidRPr="009E02E6">
              <w:t xml:space="preserve"> on gender equality issues</w:t>
            </w:r>
          </w:p>
        </w:tc>
      </w:tr>
      <w:tr w:rsidR="00055213" w:rsidRPr="009E02E6" w14:paraId="147DC86B" w14:textId="77777777" w:rsidTr="000C0D57">
        <w:tc>
          <w:tcPr>
            <w:tcW w:w="1706" w:type="dxa"/>
            <w:tcBorders>
              <w:left w:val="single" w:sz="4" w:space="0" w:color="auto"/>
              <w:bottom w:val="single" w:sz="4" w:space="0" w:color="auto"/>
            </w:tcBorders>
            <w:shd w:val="clear" w:color="auto" w:fill="auto"/>
          </w:tcPr>
          <w:p w14:paraId="33F39DDF" w14:textId="77777777" w:rsidR="00055213" w:rsidRPr="009E02E6" w:rsidRDefault="00055213" w:rsidP="000C0D57">
            <w:r w:rsidRPr="009E02E6">
              <w:rPr>
                <w:b/>
                <w:bCs/>
              </w:rPr>
              <w:lastRenderedPageBreak/>
              <w:t>Support to comply</w:t>
            </w:r>
          </w:p>
        </w:tc>
        <w:tc>
          <w:tcPr>
            <w:tcW w:w="3113" w:type="dxa"/>
            <w:shd w:val="clear" w:color="auto" w:fill="auto"/>
          </w:tcPr>
          <w:p w14:paraId="23FC4E14" w14:textId="77777777" w:rsidR="00055213" w:rsidRPr="009E02E6" w:rsidRDefault="00055213" w:rsidP="000C0D57">
            <w:r w:rsidRPr="009E02E6">
              <w:t>We provide practical guidance and templates for duty holders to maximise voluntary compliance</w:t>
            </w:r>
          </w:p>
        </w:tc>
        <w:tc>
          <w:tcPr>
            <w:tcW w:w="4536" w:type="dxa"/>
          </w:tcPr>
          <w:p w14:paraId="214C157B" w14:textId="77777777" w:rsidR="00055213" w:rsidRPr="009E02E6" w:rsidRDefault="00055213" w:rsidP="00F31D48">
            <w:pPr>
              <w:pStyle w:val="Tablebullet1"/>
            </w:pPr>
            <w:r w:rsidRPr="009E02E6">
              <w:t>Publishing guidance on mandatory standards and compliance requirements</w:t>
            </w:r>
          </w:p>
          <w:p w14:paraId="7EE0DCB5" w14:textId="77777777" w:rsidR="00055213" w:rsidRPr="00E1717B" w:rsidRDefault="00055213" w:rsidP="00F31D48">
            <w:pPr>
              <w:pStyle w:val="Tablebullet1"/>
            </w:pPr>
            <w:r w:rsidRPr="00E1717B">
              <w:t>Providing education and training</w:t>
            </w:r>
          </w:p>
          <w:p w14:paraId="13800178" w14:textId="77777777" w:rsidR="00055213" w:rsidRPr="009E02E6" w:rsidRDefault="00055213" w:rsidP="00F31D48">
            <w:pPr>
              <w:pStyle w:val="Tablebullet1"/>
            </w:pPr>
            <w:r w:rsidRPr="009E02E6">
              <w:t>Promoting best practice in Commission communications channels</w:t>
            </w:r>
          </w:p>
          <w:p w14:paraId="30C519DC" w14:textId="77777777" w:rsidR="00055213" w:rsidRPr="009E02E6" w:rsidRDefault="00055213" w:rsidP="00F31D48">
            <w:pPr>
              <w:pStyle w:val="Tablebullet1"/>
            </w:pPr>
            <w:r>
              <w:t>Targeting</w:t>
            </w:r>
            <w:r w:rsidRPr="009E02E6">
              <w:t xml:space="preserve"> communications to draw focus to compliance issues in the sector</w:t>
            </w:r>
          </w:p>
        </w:tc>
      </w:tr>
      <w:tr w:rsidR="00055213" w:rsidRPr="009E02E6" w14:paraId="3F2DB68C" w14:textId="77777777" w:rsidTr="000C0D57">
        <w:tc>
          <w:tcPr>
            <w:tcW w:w="1706" w:type="dxa"/>
            <w:tcBorders>
              <w:left w:val="single" w:sz="4" w:space="0" w:color="auto"/>
              <w:bottom w:val="single" w:sz="4" w:space="0" w:color="auto"/>
            </w:tcBorders>
          </w:tcPr>
          <w:p w14:paraId="387E6CE4" w14:textId="77777777" w:rsidR="00055213" w:rsidRPr="009E02E6" w:rsidRDefault="00055213" w:rsidP="000C0D57">
            <w:r w:rsidRPr="009E02E6">
              <w:rPr>
                <w:b/>
                <w:bCs/>
              </w:rPr>
              <w:t xml:space="preserve">Monitor </w:t>
            </w:r>
          </w:p>
        </w:tc>
        <w:tc>
          <w:tcPr>
            <w:tcW w:w="3113" w:type="dxa"/>
          </w:tcPr>
          <w:p w14:paraId="65242D42" w14:textId="77777777" w:rsidR="00055213" w:rsidRPr="009E02E6" w:rsidRDefault="00055213" w:rsidP="000C0D57">
            <w:r w:rsidRPr="00C62F2B">
              <w:t>We use information and data collected to identify sectors (or sub-sectors) that need proactive monitoring or extra support</w:t>
            </w:r>
          </w:p>
        </w:tc>
        <w:tc>
          <w:tcPr>
            <w:tcW w:w="4536" w:type="dxa"/>
          </w:tcPr>
          <w:p w14:paraId="37E9334A" w14:textId="77777777" w:rsidR="00055213" w:rsidRPr="009E02E6" w:rsidRDefault="00055213" w:rsidP="00F31D48">
            <w:pPr>
              <w:pStyle w:val="Tablebullet1"/>
            </w:pPr>
            <w:r w:rsidRPr="009E02E6">
              <w:t xml:space="preserve">Partnering with </w:t>
            </w:r>
            <w:r>
              <w:t>co-regulators</w:t>
            </w:r>
            <w:r w:rsidRPr="009E02E6">
              <w:t xml:space="preserve"> to </w:t>
            </w:r>
            <w:r w:rsidRPr="00C62F2B">
              <w:t>influence</w:t>
            </w:r>
            <w:r w:rsidRPr="009E02E6">
              <w:t xml:space="preserve"> </w:t>
            </w:r>
            <w:proofErr w:type="gramStart"/>
            <w:r w:rsidRPr="009E02E6">
              <w:t>particular industries</w:t>
            </w:r>
            <w:proofErr w:type="gramEnd"/>
          </w:p>
          <w:p w14:paraId="08617075" w14:textId="77777777" w:rsidR="00055213" w:rsidRPr="009E02E6" w:rsidRDefault="00055213" w:rsidP="00F31D48">
            <w:pPr>
              <w:pStyle w:val="Tablebullet1"/>
            </w:pPr>
            <w:r w:rsidRPr="009E02E6">
              <w:t>Publicly reporting on compliance issues</w:t>
            </w:r>
          </w:p>
          <w:p w14:paraId="1D23F26D" w14:textId="77777777" w:rsidR="00055213" w:rsidRPr="009E02E6" w:rsidRDefault="00055213" w:rsidP="00F31D48">
            <w:pPr>
              <w:pStyle w:val="Tablebullet1"/>
            </w:pPr>
            <w:r w:rsidRPr="009E02E6">
              <w:t>Issuing broad public warnings about a compliance issue</w:t>
            </w:r>
          </w:p>
          <w:p w14:paraId="071802BD" w14:textId="77777777" w:rsidR="00055213" w:rsidRPr="009E02E6" w:rsidRDefault="00055213" w:rsidP="00F31D48">
            <w:pPr>
              <w:pStyle w:val="Tablebullet1"/>
            </w:pPr>
            <w:r w:rsidRPr="009E02E6">
              <w:t xml:space="preserve">Convening forums to </w:t>
            </w:r>
            <w:r w:rsidRPr="00C62F2B">
              <w:t>raise</w:t>
            </w:r>
            <w:r w:rsidRPr="009E02E6">
              <w:t xml:space="preserve"> awareness of a particular compliance issue</w:t>
            </w:r>
          </w:p>
        </w:tc>
      </w:tr>
      <w:tr w:rsidR="00055213" w:rsidRPr="009E02E6" w14:paraId="4BA5471F" w14:textId="77777777" w:rsidTr="000C0D57">
        <w:tc>
          <w:tcPr>
            <w:tcW w:w="1706" w:type="dxa"/>
            <w:tcBorders>
              <w:left w:val="single" w:sz="4" w:space="0" w:color="auto"/>
            </w:tcBorders>
          </w:tcPr>
          <w:p w14:paraId="57C0E0F0" w14:textId="77777777" w:rsidR="00055213" w:rsidRPr="009E02E6" w:rsidRDefault="00055213" w:rsidP="000C0D57">
            <w:pPr>
              <w:rPr>
                <w:b/>
                <w:bCs/>
              </w:rPr>
            </w:pPr>
            <w:r w:rsidRPr="009E02E6">
              <w:rPr>
                <w:b/>
                <w:bCs/>
              </w:rPr>
              <w:t>Remedy</w:t>
            </w:r>
          </w:p>
        </w:tc>
        <w:tc>
          <w:tcPr>
            <w:tcW w:w="3113" w:type="dxa"/>
          </w:tcPr>
          <w:p w14:paraId="1D824D5A" w14:textId="77777777" w:rsidR="00055213" w:rsidRPr="009E02E6" w:rsidRDefault="00055213" w:rsidP="000C0D57">
            <w:r w:rsidRPr="009E02E6">
              <w:t>We use informal methods to remedy non-compliance by working with duty holders</w:t>
            </w:r>
            <w:r w:rsidRPr="00C13106">
              <w:t>.</w:t>
            </w:r>
            <w:r w:rsidRPr="009E02E6">
              <w:t xml:space="preserve"> If unsuccessful, formal notices and written undertakings may be used </w:t>
            </w:r>
          </w:p>
        </w:tc>
        <w:tc>
          <w:tcPr>
            <w:tcW w:w="4536" w:type="dxa"/>
          </w:tcPr>
          <w:p w14:paraId="2ADE3A55" w14:textId="77777777" w:rsidR="00055213" w:rsidRPr="009E02E6" w:rsidRDefault="00055213" w:rsidP="00F31D48">
            <w:pPr>
              <w:pStyle w:val="Tablebullet1"/>
            </w:pPr>
            <w:r w:rsidRPr="009E02E6">
              <w:t>Targeting correspondence to Boards, executives and heads of organisation</w:t>
            </w:r>
            <w:r>
              <w:t>s</w:t>
            </w:r>
          </w:p>
          <w:p w14:paraId="2A70910B" w14:textId="77777777" w:rsidR="00055213" w:rsidRPr="009E02E6" w:rsidRDefault="00055213" w:rsidP="00F31D48">
            <w:pPr>
              <w:pStyle w:val="Tablebullet1"/>
            </w:pPr>
            <w:r w:rsidRPr="009E02E6">
              <w:t>Issuing a compliance notice</w:t>
            </w:r>
          </w:p>
          <w:p w14:paraId="3B791562" w14:textId="77777777" w:rsidR="00055213" w:rsidRDefault="00055213" w:rsidP="00F31D48">
            <w:pPr>
              <w:pStyle w:val="Tablebullet1"/>
            </w:pPr>
            <w:r w:rsidRPr="009E02E6">
              <w:t>Accepting a written undertaking from a duty holder in response to a notice</w:t>
            </w:r>
          </w:p>
          <w:p w14:paraId="2F3627E5" w14:textId="77777777" w:rsidR="00055213" w:rsidRPr="009E02E6" w:rsidRDefault="00055213" w:rsidP="00F31D48">
            <w:pPr>
              <w:pStyle w:val="Tablebullet1"/>
            </w:pPr>
            <w:r>
              <w:t>Responding to specific disputes between employees and employers to resolve systemic gender equality issues</w:t>
            </w:r>
          </w:p>
        </w:tc>
      </w:tr>
      <w:tr w:rsidR="00055213" w:rsidRPr="009E02E6" w14:paraId="722DFDAF" w14:textId="77777777" w:rsidTr="000C0D57">
        <w:tc>
          <w:tcPr>
            <w:tcW w:w="1706" w:type="dxa"/>
            <w:tcBorders>
              <w:left w:val="single" w:sz="4" w:space="0" w:color="auto"/>
            </w:tcBorders>
          </w:tcPr>
          <w:p w14:paraId="1EA63C51" w14:textId="77777777" w:rsidR="00055213" w:rsidRPr="009E02E6" w:rsidRDefault="00055213" w:rsidP="000C0D57">
            <w:pPr>
              <w:rPr>
                <w:b/>
                <w:bCs/>
              </w:rPr>
            </w:pPr>
            <w:r w:rsidRPr="009E02E6">
              <w:rPr>
                <w:b/>
                <w:bCs/>
              </w:rPr>
              <w:t>Sanction</w:t>
            </w:r>
          </w:p>
        </w:tc>
        <w:tc>
          <w:tcPr>
            <w:tcW w:w="3113" w:type="dxa"/>
          </w:tcPr>
          <w:p w14:paraId="6A64B0E9" w14:textId="77777777" w:rsidR="00055213" w:rsidRPr="009E02E6" w:rsidRDefault="00055213" w:rsidP="000C0D57">
            <w:r w:rsidRPr="009E02E6">
              <w:t>We may take more formal and public action to deter non-</w:t>
            </w:r>
            <w:r w:rsidRPr="00C13106">
              <w:t>compliance</w:t>
            </w:r>
            <w:r w:rsidRPr="009E02E6">
              <w:t xml:space="preserve"> and promote greater transparency and accountability</w:t>
            </w:r>
          </w:p>
        </w:tc>
        <w:tc>
          <w:tcPr>
            <w:tcW w:w="4536" w:type="dxa"/>
          </w:tcPr>
          <w:p w14:paraId="33E3D168" w14:textId="77777777" w:rsidR="00055213" w:rsidRPr="009E02E6" w:rsidRDefault="00055213" w:rsidP="00F31D48">
            <w:pPr>
              <w:pStyle w:val="Tablebullet1"/>
            </w:pPr>
            <w:r w:rsidRPr="00C13106">
              <w:t>Reporting publicly</w:t>
            </w:r>
            <w:r w:rsidRPr="009E02E6">
              <w:t xml:space="preserve"> on enforcement actions taken by the Commissioner </w:t>
            </w:r>
          </w:p>
          <w:p w14:paraId="45E558CD" w14:textId="77777777" w:rsidR="00055213" w:rsidRPr="009E02E6" w:rsidRDefault="00055213" w:rsidP="00F31D48">
            <w:pPr>
              <w:pStyle w:val="Tablebullet1"/>
            </w:pPr>
            <w:r w:rsidRPr="009E02E6">
              <w:t>Raising issues with the Minister responsible for the duty holder</w:t>
            </w:r>
          </w:p>
          <w:p w14:paraId="0A8C7808" w14:textId="77777777" w:rsidR="00055213" w:rsidRPr="009E02E6" w:rsidRDefault="00055213" w:rsidP="00F31D48">
            <w:pPr>
              <w:pStyle w:val="Tablebullet1"/>
            </w:pPr>
            <w:r>
              <w:t>Recommending</w:t>
            </w:r>
            <w:r w:rsidRPr="009E02E6">
              <w:t xml:space="preserve"> action that the Minister take against the duty holder</w:t>
            </w:r>
          </w:p>
          <w:p w14:paraId="49E5904A" w14:textId="77777777" w:rsidR="00055213" w:rsidRPr="009E02E6" w:rsidRDefault="00055213" w:rsidP="00F31D48">
            <w:pPr>
              <w:pStyle w:val="Tablebullet1"/>
            </w:pPr>
            <w:r w:rsidRPr="00C13106">
              <w:t>Naming</w:t>
            </w:r>
            <w:r w:rsidRPr="009E02E6">
              <w:t xml:space="preserve"> the organisation and the obligation they failed to comply with</w:t>
            </w:r>
          </w:p>
          <w:p w14:paraId="06DD485E" w14:textId="77777777" w:rsidR="00055213" w:rsidRPr="009E02E6" w:rsidRDefault="00055213" w:rsidP="00F31D48">
            <w:pPr>
              <w:pStyle w:val="Tablebullet1"/>
            </w:pPr>
            <w:r>
              <w:t>Referring</w:t>
            </w:r>
            <w:r w:rsidRPr="009E02E6">
              <w:t xml:space="preserve"> the matter to VCAT</w:t>
            </w:r>
          </w:p>
        </w:tc>
      </w:tr>
    </w:tbl>
    <w:p w14:paraId="696A23F9" w14:textId="77777777" w:rsidR="00055213" w:rsidRPr="00D51855" w:rsidRDefault="00055213" w:rsidP="00055213">
      <w:pPr>
        <w:pStyle w:val="Heading1"/>
      </w:pPr>
      <w:bookmarkStart w:id="33" w:name="_Toc192071635"/>
      <w:bookmarkStart w:id="34" w:name="_Toc193702999"/>
      <w:r>
        <w:t>E</w:t>
      </w:r>
      <w:r w:rsidRPr="00D51855">
        <w:t>xpectation</w:t>
      </w:r>
      <w:r>
        <w:t>s</w:t>
      </w:r>
      <w:r w:rsidRPr="00D51855">
        <w:t xml:space="preserve"> of </w:t>
      </w:r>
      <w:r>
        <w:t>duty holders</w:t>
      </w:r>
      <w:bookmarkEnd w:id="33"/>
      <w:bookmarkEnd w:id="34"/>
    </w:p>
    <w:p w14:paraId="27F2FBF9" w14:textId="77777777" w:rsidR="00055213" w:rsidRPr="00494EC8" w:rsidRDefault="00055213" w:rsidP="00F31D48">
      <w:pPr>
        <w:pStyle w:val="Body"/>
      </w:pPr>
      <w:r w:rsidRPr="00494EC8">
        <w:t xml:space="preserve">We expect all duty holders to make a genuine effort to comply with their obligations under the law. </w:t>
      </w:r>
    </w:p>
    <w:p w14:paraId="2FB9443E" w14:textId="77777777" w:rsidR="00055213" w:rsidRPr="00494EC8" w:rsidRDefault="00055213" w:rsidP="00F31D48">
      <w:pPr>
        <w:pStyle w:val="Body"/>
      </w:pPr>
      <w:r w:rsidRPr="00494EC8">
        <w:t xml:space="preserve">A duty holder complies if they adhere to all requirements and obligations under the Act and associated regulations. They must also </w:t>
      </w:r>
      <w:proofErr w:type="gramStart"/>
      <w:r w:rsidRPr="00494EC8">
        <w:t>take into account</w:t>
      </w:r>
      <w:proofErr w:type="gramEnd"/>
      <w:r w:rsidRPr="00494EC8">
        <w:t xml:space="preserve"> any guidance administered by the Commissioner or Minister.</w:t>
      </w:r>
    </w:p>
    <w:p w14:paraId="717BCE9E" w14:textId="77777777" w:rsidR="00055213" w:rsidRDefault="00055213" w:rsidP="00F31D48">
      <w:pPr>
        <w:pStyle w:val="Body"/>
      </w:pPr>
      <w:r w:rsidRPr="00494EC8">
        <w:t>This means</w:t>
      </w:r>
      <w:r>
        <w:t>:</w:t>
      </w:r>
    </w:p>
    <w:p w14:paraId="35B28A45" w14:textId="77777777" w:rsidR="00055213" w:rsidRDefault="00055213" w:rsidP="00F31D48">
      <w:pPr>
        <w:pStyle w:val="Bullet1"/>
      </w:pPr>
      <w:r w:rsidRPr="00494EC8">
        <w:t>prioritising appropriate resourcing</w:t>
      </w:r>
    </w:p>
    <w:p w14:paraId="1D6F511C" w14:textId="77777777" w:rsidR="00055213" w:rsidRDefault="00055213" w:rsidP="00F31D48">
      <w:pPr>
        <w:pStyle w:val="Bullet1"/>
      </w:pPr>
      <w:r w:rsidRPr="00494EC8">
        <w:t>promoting gender equality</w:t>
      </w:r>
    </w:p>
    <w:p w14:paraId="5287630E" w14:textId="77777777" w:rsidR="00055213" w:rsidRDefault="00055213" w:rsidP="00F31D48">
      <w:pPr>
        <w:pStyle w:val="Bullet1"/>
      </w:pPr>
      <w:r w:rsidRPr="00494EC8">
        <w:t xml:space="preserve">demonstrating material progress in relation to </w:t>
      </w:r>
      <w:r>
        <w:t xml:space="preserve">the </w:t>
      </w:r>
      <w:r w:rsidRPr="00494EC8">
        <w:t>workplace gender equality indicators.</w:t>
      </w:r>
    </w:p>
    <w:p w14:paraId="2EEFFFA8" w14:textId="77777777" w:rsidR="00055213" w:rsidRDefault="00055213" w:rsidP="00F31D48">
      <w:pPr>
        <w:pStyle w:val="Bodyafterbullets"/>
      </w:pPr>
      <w:r w:rsidRPr="00494EC8">
        <w:lastRenderedPageBreak/>
        <w:t xml:space="preserve">Compliance is an ongoing process where duty holders regularly assess their risk of </w:t>
      </w:r>
      <w:r>
        <w:t>not complying</w:t>
      </w:r>
      <w:r w:rsidRPr="00494EC8">
        <w:t xml:space="preserve"> and seek to improve their practices.</w:t>
      </w:r>
    </w:p>
    <w:p w14:paraId="482F9544" w14:textId="77777777" w:rsidR="00055213" w:rsidRPr="00B62FBF" w:rsidRDefault="00055213" w:rsidP="00055213">
      <w:pPr>
        <w:pStyle w:val="Heading1"/>
      </w:pPr>
      <w:bookmarkStart w:id="35" w:name="_Toc192071636"/>
      <w:bookmarkStart w:id="36" w:name="_Toc193703000"/>
      <w:r>
        <w:t>Enforcement approach</w:t>
      </w:r>
      <w:bookmarkEnd w:id="35"/>
      <w:bookmarkEnd w:id="36"/>
      <w:r>
        <w:t xml:space="preserve"> </w:t>
      </w:r>
    </w:p>
    <w:p w14:paraId="647E253F" w14:textId="77777777" w:rsidR="00055213" w:rsidRPr="00494EC8" w:rsidRDefault="00055213" w:rsidP="00F31D48">
      <w:pPr>
        <w:pStyle w:val="Body"/>
      </w:pPr>
      <w:r>
        <w:t xml:space="preserve">If </w:t>
      </w:r>
      <w:r w:rsidRPr="00494EC8">
        <w:t xml:space="preserve">a duty holder fails to comply, the Commissioner will work directly with them to </w:t>
      </w:r>
      <w:r>
        <w:t>try and</w:t>
      </w:r>
      <w:r w:rsidRPr="2DFD98EC">
        <w:t xml:space="preserve"> </w:t>
      </w:r>
      <w:r w:rsidRPr="00494EC8">
        <w:t>achieve voluntary compliance.</w:t>
      </w:r>
    </w:p>
    <w:p w14:paraId="5667D008" w14:textId="77777777" w:rsidR="00055213" w:rsidRDefault="00055213" w:rsidP="00F31D48">
      <w:pPr>
        <w:pStyle w:val="Body"/>
      </w:pPr>
      <w:r>
        <w:t xml:space="preserve">If non-compliance continues, the Commissioner will use </w:t>
      </w:r>
      <w:r w:rsidRPr="00C5280F">
        <w:t>the compliance and enforcement powers provided under the Act</w:t>
      </w:r>
      <w:r>
        <w:t>:</w:t>
      </w:r>
    </w:p>
    <w:p w14:paraId="67A49D31" w14:textId="77777777" w:rsidR="00055213" w:rsidRDefault="00055213" w:rsidP="00F31D48">
      <w:pPr>
        <w:pStyle w:val="Bullet1"/>
      </w:pPr>
      <w:r>
        <w:t>i</w:t>
      </w:r>
      <w:r w:rsidRPr="00A91326">
        <w:t xml:space="preserve">ssuing a </w:t>
      </w:r>
      <w:r>
        <w:t>compliance notice to require remedial action</w:t>
      </w:r>
    </w:p>
    <w:bookmarkEnd w:id="31"/>
    <w:p w14:paraId="312F5C49" w14:textId="77777777" w:rsidR="00055213" w:rsidRPr="00494EC8" w:rsidRDefault="00055213" w:rsidP="00F31D48">
      <w:pPr>
        <w:pStyle w:val="Bullet1"/>
      </w:pPr>
      <w:r w:rsidRPr="00494EC8">
        <w:t>accepting a written undertaking from the duty holder that they will take certain action</w:t>
      </w:r>
    </w:p>
    <w:p w14:paraId="00F41D30" w14:textId="77777777" w:rsidR="00055213" w:rsidRPr="00494EC8" w:rsidRDefault="00055213" w:rsidP="00F31D48">
      <w:pPr>
        <w:pStyle w:val="Bullet1"/>
      </w:pPr>
      <w:r w:rsidRPr="00494EC8">
        <w:t xml:space="preserve">recommending that the Minister </w:t>
      </w:r>
      <w:proofErr w:type="gramStart"/>
      <w:r w:rsidRPr="00494EC8">
        <w:t>take action</w:t>
      </w:r>
      <w:proofErr w:type="gramEnd"/>
      <w:r w:rsidRPr="00494EC8">
        <w:t xml:space="preserve"> against the organisation </w:t>
      </w:r>
    </w:p>
    <w:p w14:paraId="3010648C" w14:textId="77777777" w:rsidR="00055213" w:rsidRPr="00494EC8" w:rsidRDefault="00055213" w:rsidP="00F31D48">
      <w:pPr>
        <w:pStyle w:val="Bullet1"/>
      </w:pPr>
      <w:r w:rsidRPr="00494EC8">
        <w:t>naming the organisation and their failure to comply on the Commission’s website</w:t>
      </w:r>
    </w:p>
    <w:p w14:paraId="7FEE2BD8" w14:textId="77777777" w:rsidR="00055213" w:rsidRPr="00494EC8" w:rsidRDefault="00055213" w:rsidP="00F31D48">
      <w:pPr>
        <w:pStyle w:val="Bullet1"/>
      </w:pPr>
      <w:r w:rsidRPr="00494EC8">
        <w:t>making an application to the Victorian Civil and Administrative Tribunal (VCAT) for an order directing the organisation to comply with a compliance notice.</w:t>
      </w:r>
    </w:p>
    <w:p w14:paraId="6F14F2C4" w14:textId="77777777" w:rsidR="00055213" w:rsidRDefault="00055213" w:rsidP="00F31D48">
      <w:pPr>
        <w:pStyle w:val="Bodyafterbullets"/>
      </w:pPr>
      <w:r w:rsidRPr="006C4311">
        <w:t>Intervention</w:t>
      </w:r>
      <w:r>
        <w:t xml:space="preserve"> </w:t>
      </w:r>
      <w:r w:rsidRPr="006C4311">
        <w:t>will be proportionate to</w:t>
      </w:r>
      <w:r>
        <w:t>:</w:t>
      </w:r>
    </w:p>
    <w:p w14:paraId="11B24404" w14:textId="77777777" w:rsidR="00055213" w:rsidRPr="00494EC8" w:rsidRDefault="00055213" w:rsidP="00F31D48">
      <w:pPr>
        <w:pStyle w:val="Bullet1"/>
      </w:pPr>
      <w:r>
        <w:t xml:space="preserve">the </w:t>
      </w:r>
      <w:r w:rsidRPr="009423CF">
        <w:t xml:space="preserve">harm </w:t>
      </w:r>
      <w:r>
        <w:t xml:space="preserve">arising </w:t>
      </w:r>
      <w:r w:rsidRPr="009423CF">
        <w:t>from non-compliance</w:t>
      </w:r>
    </w:p>
    <w:p w14:paraId="7EE7F5D6" w14:textId="77777777" w:rsidR="00055213" w:rsidRDefault="00055213" w:rsidP="00F31D48">
      <w:pPr>
        <w:pStyle w:val="Bullet1"/>
      </w:pPr>
      <w:r>
        <w:t xml:space="preserve">the </w:t>
      </w:r>
      <w:r w:rsidRPr="009423CF">
        <w:t>attitude to compliance and culpability</w:t>
      </w:r>
    </w:p>
    <w:p w14:paraId="23CF0F46" w14:textId="77777777" w:rsidR="00055213" w:rsidRDefault="00055213" w:rsidP="00F31D48">
      <w:pPr>
        <w:pStyle w:val="Bullet1"/>
      </w:pPr>
      <w:r>
        <w:t>capacity and ability of the duty holder</w:t>
      </w:r>
    </w:p>
    <w:p w14:paraId="16FFE589" w14:textId="6D872263" w:rsidR="007019B6" w:rsidRDefault="00055213" w:rsidP="00EB7E3F">
      <w:pPr>
        <w:pStyle w:val="Bullet1"/>
      </w:pPr>
      <w:r w:rsidRPr="0018112C">
        <w:t xml:space="preserve">what </w:t>
      </w:r>
      <w:r>
        <w:t xml:space="preserve">is </w:t>
      </w:r>
      <w:r w:rsidRPr="0018112C">
        <w:t>considered reasonable and material progress</w:t>
      </w:r>
      <w:r>
        <w:t>.</w:t>
      </w:r>
    </w:p>
    <w:p w14:paraId="5C96C963" w14:textId="0B52563A" w:rsidR="00AB1F16" w:rsidRDefault="00AB1F16" w:rsidP="00AB1F16">
      <w:pPr>
        <w:pStyle w:val="Figurecaption"/>
      </w:pPr>
      <w:r>
        <w:lastRenderedPageBreak/>
        <w:t xml:space="preserve">Figure </w:t>
      </w:r>
      <w:r>
        <w:fldChar w:fldCharType="begin"/>
      </w:r>
      <w:r>
        <w:instrText xml:space="preserve"> SEQ Figure \* ARABIC </w:instrText>
      </w:r>
      <w:r>
        <w:fldChar w:fldCharType="separate"/>
      </w:r>
      <w:r>
        <w:rPr>
          <w:noProof/>
        </w:rPr>
        <w:t>2</w:t>
      </w:r>
      <w:r>
        <w:fldChar w:fldCharType="end"/>
      </w:r>
      <w:r w:rsidRPr="0075666D">
        <w:t>: Escalated and responsive approach to enforcement</w:t>
      </w:r>
    </w:p>
    <w:p w14:paraId="158091FC" w14:textId="78A32D72" w:rsidR="00055213" w:rsidRDefault="00A13374" w:rsidP="00055213">
      <w:pPr>
        <w:rPr>
          <w:sz w:val="24"/>
          <w:szCs w:val="24"/>
        </w:rPr>
      </w:pPr>
      <w:r w:rsidRPr="00A13374">
        <w:rPr>
          <w:noProof/>
          <w:sz w:val="24"/>
          <w:szCs w:val="24"/>
        </w:rPr>
        <w:drawing>
          <wp:inline distT="0" distB="0" distL="0" distR="0" wp14:anchorId="77D9DAFB" wp14:editId="79F26595">
            <wp:extent cx="5904230" cy="4785995"/>
            <wp:effectExtent l="0" t="0" r="1270" b="0"/>
            <wp:docPr id="1893184853" name="Picture 1" descr="A pyramid showing the Commission's compliance approach, from lower level interventions at the bottom of the pyramid, to higher level interventions at the top. The base level of the puramid is 'guidance and support', followed by 'assisted compliance', 'directed compliance', 'graduated and proportionate sanctions' and 'full force of the law' at the top of the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84853" name="Picture 1" descr="A pyramid showing the Commission's compliance approach, from lower level interventions at the bottom of the pyramid, to higher level interventions at the top. The base level of the puramid is 'guidance and support', followed by 'assisted compliance', 'directed compliance', 'graduated and proportionate sanctions' and 'full force of the law' at the top of the pyramid."/>
                    <pic:cNvPicPr/>
                  </pic:nvPicPr>
                  <pic:blipFill>
                    <a:blip r:embed="rId21"/>
                    <a:stretch>
                      <a:fillRect/>
                    </a:stretch>
                  </pic:blipFill>
                  <pic:spPr>
                    <a:xfrm>
                      <a:off x="0" y="0"/>
                      <a:ext cx="5904230" cy="4785995"/>
                    </a:xfrm>
                    <a:prstGeom prst="rect">
                      <a:avLst/>
                    </a:prstGeom>
                  </pic:spPr>
                </pic:pic>
              </a:graphicData>
            </a:graphic>
          </wp:inline>
        </w:drawing>
      </w:r>
    </w:p>
    <w:p w14:paraId="006D242D" w14:textId="77777777" w:rsidR="00055213" w:rsidRPr="00D51855" w:rsidRDefault="00055213" w:rsidP="00055213">
      <w:pPr>
        <w:pStyle w:val="Heading2"/>
      </w:pPr>
      <w:bookmarkStart w:id="37" w:name="_Toc188276075"/>
      <w:bookmarkStart w:id="38" w:name="_Toc192071637"/>
      <w:bookmarkStart w:id="39" w:name="_Toc193703001"/>
      <w:r w:rsidRPr="00D51855">
        <w:t>Review</w:t>
      </w:r>
      <w:r>
        <w:t>ing</w:t>
      </w:r>
      <w:r w:rsidRPr="00D51855">
        <w:t xml:space="preserve"> regulatory decisions</w:t>
      </w:r>
      <w:bookmarkEnd w:id="37"/>
      <w:bookmarkEnd w:id="38"/>
      <w:bookmarkEnd w:id="39"/>
    </w:p>
    <w:p w14:paraId="76118B97" w14:textId="77777777" w:rsidR="00055213" w:rsidRDefault="00055213" w:rsidP="00C56371">
      <w:pPr>
        <w:pStyle w:val="Body"/>
      </w:pPr>
      <w:r w:rsidRPr="00494EC8">
        <w:t xml:space="preserve">We hold ourselves accountable </w:t>
      </w:r>
      <w:r>
        <w:t>by:</w:t>
      </w:r>
    </w:p>
    <w:p w14:paraId="1A25175F" w14:textId="77777777" w:rsidR="00055213" w:rsidRDefault="00055213" w:rsidP="00C56371">
      <w:pPr>
        <w:pStyle w:val="Bullet1"/>
      </w:pPr>
      <w:r w:rsidRPr="00494EC8">
        <w:t>be</w:t>
      </w:r>
      <w:r>
        <w:t>ing</w:t>
      </w:r>
      <w:r w:rsidRPr="00494EC8">
        <w:t xml:space="preserve"> open and transparent in our conduct</w:t>
      </w:r>
      <w:r w:rsidRPr="00770BD6">
        <w:t xml:space="preserve"> and </w:t>
      </w:r>
      <w:r w:rsidRPr="00494EC8">
        <w:t>explain</w:t>
      </w:r>
      <w:r>
        <w:t>ing</w:t>
      </w:r>
      <w:r w:rsidRPr="00494EC8">
        <w:t xml:space="preserve"> our decisions</w:t>
      </w:r>
    </w:p>
    <w:p w14:paraId="1BFE4BBD" w14:textId="77777777" w:rsidR="00055213" w:rsidRDefault="00055213" w:rsidP="00C56371">
      <w:pPr>
        <w:pStyle w:val="Bullet1"/>
      </w:pPr>
      <w:r w:rsidRPr="00494EC8">
        <w:t>be</w:t>
      </w:r>
      <w:r>
        <w:t>ing</w:t>
      </w:r>
      <w:r w:rsidRPr="00494EC8">
        <w:t xml:space="preserve"> open to scrutiny and review</w:t>
      </w:r>
    </w:p>
    <w:p w14:paraId="05AC5C4B" w14:textId="77777777" w:rsidR="00055213" w:rsidRDefault="00055213" w:rsidP="00C56371">
      <w:pPr>
        <w:pStyle w:val="Bullet1"/>
      </w:pPr>
      <w:r w:rsidRPr="00494EC8">
        <w:t>show</w:t>
      </w:r>
      <w:r>
        <w:t>ing</w:t>
      </w:r>
      <w:r w:rsidRPr="00494EC8">
        <w:t xml:space="preserve"> integrity in our efforts</w:t>
      </w:r>
      <w:r w:rsidRPr="00494EC8" w:rsidDel="00E25F77">
        <w:t xml:space="preserve"> </w:t>
      </w:r>
      <w:r w:rsidRPr="00494EC8">
        <w:t>to eliminate gender inequality</w:t>
      </w:r>
    </w:p>
    <w:p w14:paraId="405D596D" w14:textId="3BC8A6FF" w:rsidR="00055213" w:rsidRPr="00494EC8" w:rsidRDefault="00055213" w:rsidP="00C56371">
      <w:pPr>
        <w:pStyle w:val="Bullet1"/>
      </w:pPr>
      <w:r w:rsidRPr="00494EC8">
        <w:t>commit</w:t>
      </w:r>
      <w:r>
        <w:t>ting</w:t>
      </w:r>
      <w:r w:rsidRPr="00494EC8">
        <w:t xml:space="preserve"> to continuous improvement</w:t>
      </w:r>
      <w:r w:rsidR="00C56371">
        <w:t>.</w:t>
      </w:r>
      <w:r w:rsidRPr="00494EC8">
        <w:t xml:space="preserve"> </w:t>
      </w:r>
    </w:p>
    <w:p w14:paraId="2383BBF1" w14:textId="77777777" w:rsidR="00055213" w:rsidRPr="00494EC8" w:rsidRDefault="00055213" w:rsidP="00E2006D">
      <w:pPr>
        <w:pStyle w:val="Bodyafterbullets"/>
      </w:pPr>
      <w:r w:rsidRPr="00494EC8">
        <w:t>Duty holders can request an internal review of compliance feedback or decisions. If a duty holder disagrees with a compliance notice issued by the Commissioner, they have 14 days after receiving the compliance notice to give a written response to the Commissioner outlining the reasons for disagreeing with the notice and can ask for the decision to be reconsidered.</w:t>
      </w:r>
    </w:p>
    <w:p w14:paraId="0FCDCA4C" w14:textId="77777777" w:rsidR="00055213" w:rsidRPr="00494EC8" w:rsidRDefault="00055213" w:rsidP="00F8050D">
      <w:pPr>
        <w:pStyle w:val="Body"/>
      </w:pPr>
      <w:r w:rsidRPr="00494EC8">
        <w:t>After considering the written response from the duty holder, the Commissioner may withdraw, amend or confirm the compliance notice. An internal review of the compliance feedback or decision may be completed to inform this.</w:t>
      </w:r>
      <w:r>
        <w:t xml:space="preserve"> </w:t>
      </w:r>
      <w:r w:rsidRPr="00494EC8">
        <w:t>If the compliance notice is confirmed or amended, the notice will specify a period within which the duty holder must comply.</w:t>
      </w:r>
    </w:p>
    <w:p w14:paraId="64D66C7F" w14:textId="77777777" w:rsidR="00055213" w:rsidRPr="00D51855" w:rsidRDefault="00055213" w:rsidP="00055213">
      <w:pPr>
        <w:pStyle w:val="Heading3"/>
      </w:pPr>
      <w:bookmarkStart w:id="40" w:name="_Toc188276077"/>
      <w:r>
        <w:lastRenderedPageBreak/>
        <w:t>Alternative avenues</w:t>
      </w:r>
      <w:r w:rsidRPr="00D51855">
        <w:t xml:space="preserve"> for review</w:t>
      </w:r>
      <w:bookmarkEnd w:id="40"/>
      <w:r w:rsidRPr="00D51855">
        <w:t xml:space="preserve"> </w:t>
      </w:r>
    </w:p>
    <w:p w14:paraId="110D2865" w14:textId="77777777" w:rsidR="00055213" w:rsidRPr="00494EC8" w:rsidRDefault="00055213" w:rsidP="00F8050D">
      <w:pPr>
        <w:pStyle w:val="Body"/>
      </w:pPr>
      <w:r w:rsidRPr="00494EC8">
        <w:t>If the Commissioner confirms a compliance notice, and the duty holder continues to disagree with the decision, they can apply to VCAT for a review of the decision to confirm the notice.</w:t>
      </w:r>
    </w:p>
    <w:p w14:paraId="40D35F84" w14:textId="77777777" w:rsidR="00055213" w:rsidRDefault="00055213" w:rsidP="00F8050D">
      <w:pPr>
        <w:pStyle w:val="Body"/>
      </w:pPr>
      <w:r w:rsidRPr="00494EC8">
        <w:t>An application for review must be made in writing to VCAT within 28 days of the duty holder receiving the notice of the Commissioner's decision.</w:t>
      </w:r>
    </w:p>
    <w:sectPr w:rsidR="00055213" w:rsidSect="00CF230C">
      <w:headerReference w:type="even" r:id="rId22"/>
      <w:headerReference w:type="default" r:id="rId23"/>
      <w:footerReference w:type="even" r:id="rId24"/>
      <w:footerReference w:type="default" r:id="rId25"/>
      <w:headerReference w:type="first" r:id="rId26"/>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1182C" w14:textId="77777777" w:rsidR="00C14CE5" w:rsidRDefault="00C14CE5">
      <w:r>
        <w:separator/>
      </w:r>
    </w:p>
    <w:p w14:paraId="5559118C" w14:textId="77777777" w:rsidR="00C14CE5" w:rsidRDefault="00C14CE5"/>
  </w:endnote>
  <w:endnote w:type="continuationSeparator" w:id="0">
    <w:p w14:paraId="6F0625F7" w14:textId="77777777" w:rsidR="00C14CE5" w:rsidRDefault="00C14CE5">
      <w:r>
        <w:continuationSeparator/>
      </w:r>
    </w:p>
    <w:p w14:paraId="59EB6306" w14:textId="77777777" w:rsidR="00C14CE5" w:rsidRDefault="00C14CE5"/>
  </w:endnote>
  <w:endnote w:type="continuationNotice" w:id="1">
    <w:p w14:paraId="3A9BF3A9" w14:textId="77777777" w:rsidR="00C14CE5" w:rsidRDefault="00C14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FFADC" w14:textId="77777777" w:rsidR="00C14CE5" w:rsidRDefault="00C14CE5" w:rsidP="00207717">
      <w:pPr>
        <w:spacing w:before="120"/>
      </w:pPr>
      <w:r>
        <w:separator/>
      </w:r>
    </w:p>
  </w:footnote>
  <w:footnote w:type="continuationSeparator" w:id="0">
    <w:p w14:paraId="2121BABC" w14:textId="77777777" w:rsidR="00C14CE5" w:rsidRDefault="00C14CE5">
      <w:r>
        <w:continuationSeparator/>
      </w:r>
    </w:p>
    <w:p w14:paraId="26056F4D" w14:textId="77777777" w:rsidR="00C14CE5" w:rsidRDefault="00C14CE5"/>
  </w:footnote>
  <w:footnote w:type="continuationNotice" w:id="1">
    <w:p w14:paraId="3EC068F1" w14:textId="77777777" w:rsidR="00C14CE5" w:rsidRDefault="00C14CE5">
      <w:pPr>
        <w:spacing w:after="0" w:line="240" w:lineRule="auto"/>
      </w:pPr>
    </w:p>
  </w:footnote>
  <w:footnote w:id="2">
    <w:p w14:paraId="671FB6ED" w14:textId="009AD3E7" w:rsidR="00055213" w:rsidRPr="008B79CF" w:rsidRDefault="00055213" w:rsidP="008B79CF">
      <w:pPr>
        <w:pStyle w:val="FootnoteText"/>
        <w:rPr>
          <w:rStyle w:val="FootnoteReference"/>
          <w:vertAlign w:val="baseline"/>
        </w:rPr>
      </w:pPr>
      <w:r w:rsidRPr="008B79CF">
        <w:rPr>
          <w:rStyle w:val="FootnoteReference"/>
          <w:vertAlign w:val="baseline"/>
        </w:rPr>
        <w:footnoteRef/>
      </w:r>
      <w:r w:rsidRPr="008B79CF">
        <w:rPr>
          <w:rStyle w:val="FootnoteReference"/>
          <w:vertAlign w:val="baseline"/>
        </w:rPr>
        <w:t xml:space="preserve"> </w:t>
      </w:r>
      <w:hyperlink r:id="rId1" w:history="1">
        <w:r w:rsidRPr="008B79CF">
          <w:rPr>
            <w:rStyle w:val="FootnoteReference"/>
            <w:vertAlign w:val="baseline"/>
          </w:rPr>
          <w:t>https://www.vic.gov.au/towards-best-practice-guide-regulators</w:t>
        </w:r>
      </w:hyperlink>
      <w:r w:rsidR="008B79C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02F639B8" w14:paraId="6BF38038" w14:textId="77777777" w:rsidTr="02F639B8">
      <w:trPr>
        <w:trHeight w:val="300"/>
      </w:trPr>
      <w:tc>
        <w:tcPr>
          <w:tcW w:w="3080" w:type="dxa"/>
        </w:tcPr>
        <w:p w14:paraId="536CEB3E" w14:textId="1E0ED94D" w:rsidR="02F639B8" w:rsidRDefault="02F639B8" w:rsidP="02F639B8">
          <w:pPr>
            <w:pStyle w:val="Header"/>
            <w:ind w:left="-115"/>
          </w:pPr>
        </w:p>
      </w:tc>
      <w:tc>
        <w:tcPr>
          <w:tcW w:w="3080" w:type="dxa"/>
        </w:tcPr>
        <w:p w14:paraId="15313458" w14:textId="66FD80A6" w:rsidR="02F639B8" w:rsidRDefault="02F639B8" w:rsidP="02F639B8">
          <w:pPr>
            <w:pStyle w:val="Header"/>
            <w:jc w:val="center"/>
          </w:pPr>
        </w:p>
      </w:tc>
      <w:tc>
        <w:tcPr>
          <w:tcW w:w="3080" w:type="dxa"/>
        </w:tcPr>
        <w:p w14:paraId="707A632E" w14:textId="6003A024" w:rsidR="02F639B8" w:rsidRDefault="02F639B8" w:rsidP="02F639B8">
          <w:pPr>
            <w:pStyle w:val="Header"/>
            <w:ind w:right="-115"/>
            <w:jc w:val="right"/>
          </w:pPr>
        </w:p>
      </w:tc>
    </w:tr>
  </w:tbl>
  <w:p w14:paraId="21A93013" w14:textId="4C27D54A" w:rsidR="00330C41" w:rsidRDefault="00330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02F639B8" w14:paraId="2B4D9B27" w14:textId="77777777" w:rsidTr="02F639B8">
      <w:trPr>
        <w:trHeight w:val="300"/>
      </w:trPr>
      <w:tc>
        <w:tcPr>
          <w:tcW w:w="3080" w:type="dxa"/>
        </w:tcPr>
        <w:p w14:paraId="62762654" w14:textId="09976D01" w:rsidR="02F639B8" w:rsidRDefault="02F639B8" w:rsidP="02F639B8">
          <w:pPr>
            <w:pStyle w:val="Header"/>
            <w:ind w:left="-115"/>
          </w:pPr>
        </w:p>
      </w:tc>
      <w:tc>
        <w:tcPr>
          <w:tcW w:w="3080" w:type="dxa"/>
        </w:tcPr>
        <w:p w14:paraId="73A387AC" w14:textId="2D654BE6" w:rsidR="02F639B8" w:rsidRDefault="02F639B8" w:rsidP="02F639B8">
          <w:pPr>
            <w:pStyle w:val="Header"/>
            <w:jc w:val="center"/>
          </w:pPr>
        </w:p>
      </w:tc>
      <w:tc>
        <w:tcPr>
          <w:tcW w:w="3080" w:type="dxa"/>
        </w:tcPr>
        <w:p w14:paraId="777E6ECF" w14:textId="3B6D6FE3" w:rsidR="02F639B8" w:rsidRDefault="02F639B8" w:rsidP="02F639B8">
          <w:pPr>
            <w:pStyle w:val="Header"/>
            <w:ind w:right="-115"/>
            <w:jc w:val="right"/>
          </w:pPr>
        </w:p>
      </w:tc>
    </w:tr>
  </w:tbl>
  <w:p w14:paraId="7669C61A" w14:textId="4BCE1DFC" w:rsidR="00330C41" w:rsidRDefault="00330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1734AB78" w:rsidR="00562811" w:rsidRPr="001C7128" w:rsidRDefault="001C5320" w:rsidP="001C7128">
    <w:pPr>
      <w:pStyle w:val="Header"/>
    </w:pPr>
    <w:r w:rsidRPr="001C5320">
      <w:t xml:space="preserve"> Regulatory Approach </w:t>
    </w:r>
    <w:r>
      <w:t>– Commission for Gender Equality in the Public Sector</w:t>
    </w:r>
    <w:r w:rsidR="001C7128">
      <w:ptab w:relativeTo="margin" w:alignment="right" w:leader="none"/>
    </w:r>
    <w:r w:rsidR="001C7128" w:rsidRPr="0DD1B986">
      <w:fldChar w:fldCharType="begin"/>
    </w:r>
    <w:r w:rsidR="001C7128" w:rsidRPr="00DE6C85">
      <w:rPr>
        <w:bCs/>
      </w:rPr>
      <w:instrText xml:space="preserve"> PAGE </w:instrText>
    </w:r>
    <w:r w:rsidR="001C7128" w:rsidRPr="0DD1B986">
      <w:rPr>
        <w:b w:val="0"/>
        <w:bCs/>
      </w:rPr>
      <w:fldChar w:fldCharType="separate"/>
    </w:r>
    <w:r w:rsidR="001C7128">
      <w:rPr>
        <w:bCs/>
      </w:rPr>
      <w:t>7</w:t>
    </w:r>
    <w:r w:rsidR="001C7128" w:rsidRPr="0DD1B98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02F639B8" w14:paraId="210163B4" w14:textId="77777777" w:rsidTr="02F639B8">
      <w:trPr>
        <w:trHeight w:val="300"/>
      </w:trPr>
      <w:tc>
        <w:tcPr>
          <w:tcW w:w="3095" w:type="dxa"/>
        </w:tcPr>
        <w:p w14:paraId="4EE73CB9" w14:textId="1A06C1EC" w:rsidR="02F639B8" w:rsidRDefault="02F639B8" w:rsidP="02F639B8">
          <w:pPr>
            <w:pStyle w:val="Header"/>
            <w:ind w:left="-115"/>
          </w:pPr>
        </w:p>
      </w:tc>
      <w:tc>
        <w:tcPr>
          <w:tcW w:w="3095" w:type="dxa"/>
        </w:tcPr>
        <w:p w14:paraId="04EDCA8B" w14:textId="3D9986C5" w:rsidR="02F639B8" w:rsidRDefault="02F639B8" w:rsidP="02F639B8">
          <w:pPr>
            <w:pStyle w:val="Header"/>
            <w:jc w:val="center"/>
          </w:pPr>
        </w:p>
      </w:tc>
      <w:tc>
        <w:tcPr>
          <w:tcW w:w="3095" w:type="dxa"/>
        </w:tcPr>
        <w:p w14:paraId="3615E698" w14:textId="18714BDD" w:rsidR="02F639B8" w:rsidRDefault="02F639B8" w:rsidP="02F639B8">
          <w:pPr>
            <w:pStyle w:val="Header"/>
            <w:ind w:right="-115"/>
            <w:jc w:val="right"/>
          </w:pPr>
        </w:p>
      </w:tc>
    </w:tr>
  </w:tbl>
  <w:p w14:paraId="65D22185" w14:textId="66785B79" w:rsidR="00330C41" w:rsidRDefault="00330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88543492">
    <w:abstractNumId w:val="3"/>
  </w:num>
  <w:num w:numId="2" w16cid:durableId="886916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718637">
    <w:abstractNumId w:val="6"/>
  </w:num>
  <w:num w:numId="4" w16cid:durableId="1033964958">
    <w:abstractNumId w:val="5"/>
  </w:num>
  <w:num w:numId="5" w16cid:durableId="1703049620">
    <w:abstractNumId w:val="7"/>
  </w:num>
  <w:num w:numId="6" w16cid:durableId="99495703">
    <w:abstractNumId w:val="4"/>
  </w:num>
  <w:num w:numId="7" w16cid:durableId="759761097">
    <w:abstractNumId w:val="2"/>
  </w:num>
  <w:num w:numId="8" w16cid:durableId="941186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62E"/>
    <w:rsid w:val="00002D68"/>
    <w:rsid w:val="000033F7"/>
    <w:rsid w:val="00003403"/>
    <w:rsid w:val="00005347"/>
    <w:rsid w:val="000072B6"/>
    <w:rsid w:val="0001021B"/>
    <w:rsid w:val="00011D89"/>
    <w:rsid w:val="00012CD2"/>
    <w:rsid w:val="000154FD"/>
    <w:rsid w:val="00021536"/>
    <w:rsid w:val="00022271"/>
    <w:rsid w:val="000235E8"/>
    <w:rsid w:val="00024D89"/>
    <w:rsid w:val="000250B6"/>
    <w:rsid w:val="00027370"/>
    <w:rsid w:val="00033D81"/>
    <w:rsid w:val="00033DC9"/>
    <w:rsid w:val="00037366"/>
    <w:rsid w:val="00041BF0"/>
    <w:rsid w:val="00042C8A"/>
    <w:rsid w:val="0004399D"/>
    <w:rsid w:val="0004536B"/>
    <w:rsid w:val="00046B68"/>
    <w:rsid w:val="000527DD"/>
    <w:rsid w:val="00053C64"/>
    <w:rsid w:val="00054BC3"/>
    <w:rsid w:val="00055213"/>
    <w:rsid w:val="00056548"/>
    <w:rsid w:val="00056EC4"/>
    <w:rsid w:val="000578B2"/>
    <w:rsid w:val="00060959"/>
    <w:rsid w:val="00060C8F"/>
    <w:rsid w:val="0006298A"/>
    <w:rsid w:val="000663CD"/>
    <w:rsid w:val="000733FE"/>
    <w:rsid w:val="00074219"/>
    <w:rsid w:val="00074ED5"/>
    <w:rsid w:val="0008170F"/>
    <w:rsid w:val="00081B05"/>
    <w:rsid w:val="0008204A"/>
    <w:rsid w:val="000830C2"/>
    <w:rsid w:val="0008508E"/>
    <w:rsid w:val="00087951"/>
    <w:rsid w:val="000902D6"/>
    <w:rsid w:val="0009113B"/>
    <w:rsid w:val="00093402"/>
    <w:rsid w:val="00094DA3"/>
    <w:rsid w:val="00096CD1"/>
    <w:rsid w:val="000A012C"/>
    <w:rsid w:val="000A0EB9"/>
    <w:rsid w:val="000A186C"/>
    <w:rsid w:val="000A1EA4"/>
    <w:rsid w:val="000A2476"/>
    <w:rsid w:val="000A2BAC"/>
    <w:rsid w:val="000A641A"/>
    <w:rsid w:val="000B3EDB"/>
    <w:rsid w:val="000B543D"/>
    <w:rsid w:val="000B55F9"/>
    <w:rsid w:val="000B5BF7"/>
    <w:rsid w:val="000B64DC"/>
    <w:rsid w:val="000B6BC8"/>
    <w:rsid w:val="000C0303"/>
    <w:rsid w:val="000C0D57"/>
    <w:rsid w:val="000C42EA"/>
    <w:rsid w:val="000C4546"/>
    <w:rsid w:val="000D02EC"/>
    <w:rsid w:val="000D1242"/>
    <w:rsid w:val="000D2ABA"/>
    <w:rsid w:val="000E0970"/>
    <w:rsid w:val="000E3CC7"/>
    <w:rsid w:val="000E655B"/>
    <w:rsid w:val="000E6BD4"/>
    <w:rsid w:val="000E6D6D"/>
    <w:rsid w:val="000F0D81"/>
    <w:rsid w:val="000F1F1E"/>
    <w:rsid w:val="000F2259"/>
    <w:rsid w:val="000F2DDA"/>
    <w:rsid w:val="000F2EA0"/>
    <w:rsid w:val="000F5213"/>
    <w:rsid w:val="00101001"/>
    <w:rsid w:val="00103276"/>
    <w:rsid w:val="0010392D"/>
    <w:rsid w:val="0010447F"/>
    <w:rsid w:val="00104FE3"/>
    <w:rsid w:val="0010714F"/>
    <w:rsid w:val="00110A0E"/>
    <w:rsid w:val="001120C5"/>
    <w:rsid w:val="00120BD3"/>
    <w:rsid w:val="00122FEA"/>
    <w:rsid w:val="001232BD"/>
    <w:rsid w:val="00124ED5"/>
    <w:rsid w:val="001276FA"/>
    <w:rsid w:val="00140B39"/>
    <w:rsid w:val="001447B3"/>
    <w:rsid w:val="00152073"/>
    <w:rsid w:val="00152329"/>
    <w:rsid w:val="0015238D"/>
    <w:rsid w:val="00156598"/>
    <w:rsid w:val="00156BED"/>
    <w:rsid w:val="00161939"/>
    <w:rsid w:val="00161AA0"/>
    <w:rsid w:val="00161D2E"/>
    <w:rsid w:val="00161F3E"/>
    <w:rsid w:val="00162093"/>
    <w:rsid w:val="001620A8"/>
    <w:rsid w:val="00162CA9"/>
    <w:rsid w:val="00165459"/>
    <w:rsid w:val="00165821"/>
    <w:rsid w:val="00165A57"/>
    <w:rsid w:val="001708A9"/>
    <w:rsid w:val="001712C2"/>
    <w:rsid w:val="00172BAF"/>
    <w:rsid w:val="00172ED0"/>
    <w:rsid w:val="00173828"/>
    <w:rsid w:val="001759DD"/>
    <w:rsid w:val="0017674D"/>
    <w:rsid w:val="001771DD"/>
    <w:rsid w:val="00177995"/>
    <w:rsid w:val="00177A8C"/>
    <w:rsid w:val="0018244E"/>
    <w:rsid w:val="00186B33"/>
    <w:rsid w:val="00192F9D"/>
    <w:rsid w:val="00196EB8"/>
    <w:rsid w:val="00196EFB"/>
    <w:rsid w:val="0019735F"/>
    <w:rsid w:val="001979FF"/>
    <w:rsid w:val="00197B17"/>
    <w:rsid w:val="001A1950"/>
    <w:rsid w:val="001A1C54"/>
    <w:rsid w:val="001A3ACE"/>
    <w:rsid w:val="001A6272"/>
    <w:rsid w:val="001B058F"/>
    <w:rsid w:val="001B6B96"/>
    <w:rsid w:val="001B738B"/>
    <w:rsid w:val="001C0737"/>
    <w:rsid w:val="001C09DB"/>
    <w:rsid w:val="001C277E"/>
    <w:rsid w:val="001C2A72"/>
    <w:rsid w:val="001C31B7"/>
    <w:rsid w:val="001C5320"/>
    <w:rsid w:val="001C611B"/>
    <w:rsid w:val="001C7128"/>
    <w:rsid w:val="001D08B1"/>
    <w:rsid w:val="001D0B75"/>
    <w:rsid w:val="001D2DEB"/>
    <w:rsid w:val="001D39A5"/>
    <w:rsid w:val="001D3C09"/>
    <w:rsid w:val="001D44E8"/>
    <w:rsid w:val="001D5B14"/>
    <w:rsid w:val="001D60EC"/>
    <w:rsid w:val="001D6361"/>
    <w:rsid w:val="001D6F59"/>
    <w:rsid w:val="001E0527"/>
    <w:rsid w:val="001E44DF"/>
    <w:rsid w:val="001E68A5"/>
    <w:rsid w:val="001E6BB0"/>
    <w:rsid w:val="001E7282"/>
    <w:rsid w:val="001F3826"/>
    <w:rsid w:val="001F4BE0"/>
    <w:rsid w:val="001F6E46"/>
    <w:rsid w:val="001F7C91"/>
    <w:rsid w:val="002033B7"/>
    <w:rsid w:val="00206463"/>
    <w:rsid w:val="00206F2F"/>
    <w:rsid w:val="00207717"/>
    <w:rsid w:val="0021053D"/>
    <w:rsid w:val="00210A92"/>
    <w:rsid w:val="00212B95"/>
    <w:rsid w:val="00213D5D"/>
    <w:rsid w:val="00214A3F"/>
    <w:rsid w:val="00215CC8"/>
    <w:rsid w:val="00216C03"/>
    <w:rsid w:val="00220A1A"/>
    <w:rsid w:val="00220C04"/>
    <w:rsid w:val="0022278D"/>
    <w:rsid w:val="0022701F"/>
    <w:rsid w:val="00227C68"/>
    <w:rsid w:val="002333F5"/>
    <w:rsid w:val="00233724"/>
    <w:rsid w:val="00233A48"/>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62F1"/>
    <w:rsid w:val="002867F3"/>
    <w:rsid w:val="00291373"/>
    <w:rsid w:val="0029597D"/>
    <w:rsid w:val="002962C3"/>
    <w:rsid w:val="0029752B"/>
    <w:rsid w:val="00297D92"/>
    <w:rsid w:val="002A0A9C"/>
    <w:rsid w:val="002A2711"/>
    <w:rsid w:val="002A483C"/>
    <w:rsid w:val="002B0C7C"/>
    <w:rsid w:val="002B1729"/>
    <w:rsid w:val="002B36C7"/>
    <w:rsid w:val="002B4DD4"/>
    <w:rsid w:val="002B5277"/>
    <w:rsid w:val="002B5375"/>
    <w:rsid w:val="002B7527"/>
    <w:rsid w:val="002B77C1"/>
    <w:rsid w:val="002C0ED7"/>
    <w:rsid w:val="002C2728"/>
    <w:rsid w:val="002C5AA9"/>
    <w:rsid w:val="002C5B7C"/>
    <w:rsid w:val="002C6097"/>
    <w:rsid w:val="002D1802"/>
    <w:rsid w:val="002D1E0D"/>
    <w:rsid w:val="002D5006"/>
    <w:rsid w:val="002D7C61"/>
    <w:rsid w:val="002E01D0"/>
    <w:rsid w:val="002E161D"/>
    <w:rsid w:val="002E28A2"/>
    <w:rsid w:val="002E3100"/>
    <w:rsid w:val="002E6C95"/>
    <w:rsid w:val="002E7C36"/>
    <w:rsid w:val="002F3D32"/>
    <w:rsid w:val="002F5F31"/>
    <w:rsid w:val="002F5F46"/>
    <w:rsid w:val="002F6C3B"/>
    <w:rsid w:val="00302216"/>
    <w:rsid w:val="00303E53"/>
    <w:rsid w:val="00305CC1"/>
    <w:rsid w:val="00306E5F"/>
    <w:rsid w:val="00307E14"/>
    <w:rsid w:val="00310CC8"/>
    <w:rsid w:val="00314054"/>
    <w:rsid w:val="00316F27"/>
    <w:rsid w:val="003214F1"/>
    <w:rsid w:val="00322E4B"/>
    <w:rsid w:val="00327870"/>
    <w:rsid w:val="00330C41"/>
    <w:rsid w:val="0033259D"/>
    <w:rsid w:val="003333D2"/>
    <w:rsid w:val="00334686"/>
    <w:rsid w:val="00337339"/>
    <w:rsid w:val="00340345"/>
    <w:rsid w:val="003406C6"/>
    <w:rsid w:val="003418CC"/>
    <w:rsid w:val="003434EE"/>
    <w:rsid w:val="003459BD"/>
    <w:rsid w:val="00350D38"/>
    <w:rsid w:val="00351B36"/>
    <w:rsid w:val="00357B4E"/>
    <w:rsid w:val="003716FD"/>
    <w:rsid w:val="00371EED"/>
    <w:rsid w:val="0037204B"/>
    <w:rsid w:val="003744CF"/>
    <w:rsid w:val="00374717"/>
    <w:rsid w:val="0037676C"/>
    <w:rsid w:val="00381043"/>
    <w:rsid w:val="003829E5"/>
    <w:rsid w:val="00386109"/>
    <w:rsid w:val="00386944"/>
    <w:rsid w:val="00392E3F"/>
    <w:rsid w:val="003956CC"/>
    <w:rsid w:val="00395C9A"/>
    <w:rsid w:val="003A0853"/>
    <w:rsid w:val="003A0C5D"/>
    <w:rsid w:val="003A6B67"/>
    <w:rsid w:val="003B13B6"/>
    <w:rsid w:val="003B14C3"/>
    <w:rsid w:val="003B15E6"/>
    <w:rsid w:val="003B22EF"/>
    <w:rsid w:val="003B408A"/>
    <w:rsid w:val="003B4C37"/>
    <w:rsid w:val="003B732D"/>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5E25"/>
    <w:rsid w:val="003E639E"/>
    <w:rsid w:val="003E699B"/>
    <w:rsid w:val="003E71E5"/>
    <w:rsid w:val="003F0445"/>
    <w:rsid w:val="003F0CF0"/>
    <w:rsid w:val="003F14B1"/>
    <w:rsid w:val="003F2B20"/>
    <w:rsid w:val="003F3289"/>
    <w:rsid w:val="003F3C62"/>
    <w:rsid w:val="003F5CB9"/>
    <w:rsid w:val="004013C7"/>
    <w:rsid w:val="00401FCF"/>
    <w:rsid w:val="00406285"/>
    <w:rsid w:val="00407918"/>
    <w:rsid w:val="004115A2"/>
    <w:rsid w:val="004148F9"/>
    <w:rsid w:val="00417BF4"/>
    <w:rsid w:val="0042084E"/>
    <w:rsid w:val="00421EEF"/>
    <w:rsid w:val="00424D65"/>
    <w:rsid w:val="0042526D"/>
    <w:rsid w:val="00426E01"/>
    <w:rsid w:val="00430393"/>
    <w:rsid w:val="00431806"/>
    <w:rsid w:val="00431A70"/>
    <w:rsid w:val="00431F42"/>
    <w:rsid w:val="00442C6C"/>
    <w:rsid w:val="00443CBE"/>
    <w:rsid w:val="00443E8A"/>
    <w:rsid w:val="004441BC"/>
    <w:rsid w:val="00444643"/>
    <w:rsid w:val="004468B4"/>
    <w:rsid w:val="00446D86"/>
    <w:rsid w:val="0045230A"/>
    <w:rsid w:val="00454AD0"/>
    <w:rsid w:val="0045601B"/>
    <w:rsid w:val="00457337"/>
    <w:rsid w:val="00462E3D"/>
    <w:rsid w:val="00466E79"/>
    <w:rsid w:val="00470D7D"/>
    <w:rsid w:val="00471189"/>
    <w:rsid w:val="0047372D"/>
    <w:rsid w:val="00473919"/>
    <w:rsid w:val="00473BA3"/>
    <w:rsid w:val="004743DD"/>
    <w:rsid w:val="00474CEA"/>
    <w:rsid w:val="00477CAD"/>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403"/>
    <w:rsid w:val="004B768A"/>
    <w:rsid w:val="004C5541"/>
    <w:rsid w:val="004C6EEE"/>
    <w:rsid w:val="004C702B"/>
    <w:rsid w:val="004D0033"/>
    <w:rsid w:val="004D016B"/>
    <w:rsid w:val="004D0652"/>
    <w:rsid w:val="004D1B22"/>
    <w:rsid w:val="004D23CC"/>
    <w:rsid w:val="004D36F2"/>
    <w:rsid w:val="004D5D66"/>
    <w:rsid w:val="004E02FF"/>
    <w:rsid w:val="004E1106"/>
    <w:rsid w:val="004E138F"/>
    <w:rsid w:val="004E4649"/>
    <w:rsid w:val="004E5C2B"/>
    <w:rsid w:val="004F00DD"/>
    <w:rsid w:val="004F2133"/>
    <w:rsid w:val="004F5398"/>
    <w:rsid w:val="004F55F1"/>
    <w:rsid w:val="004F6936"/>
    <w:rsid w:val="00503DC6"/>
    <w:rsid w:val="0050599D"/>
    <w:rsid w:val="00506F5D"/>
    <w:rsid w:val="00510C37"/>
    <w:rsid w:val="005126D0"/>
    <w:rsid w:val="00514667"/>
    <w:rsid w:val="0051568D"/>
    <w:rsid w:val="00522353"/>
    <w:rsid w:val="00526AC7"/>
    <w:rsid w:val="00526C15"/>
    <w:rsid w:val="00527E16"/>
    <w:rsid w:val="00532CAC"/>
    <w:rsid w:val="00536499"/>
    <w:rsid w:val="00536FE5"/>
    <w:rsid w:val="00542A03"/>
    <w:rsid w:val="00543903"/>
    <w:rsid w:val="00543BCC"/>
    <w:rsid w:val="00543F11"/>
    <w:rsid w:val="00546305"/>
    <w:rsid w:val="00547A95"/>
    <w:rsid w:val="0055119B"/>
    <w:rsid w:val="00561202"/>
    <w:rsid w:val="00562507"/>
    <w:rsid w:val="00562811"/>
    <w:rsid w:val="00567321"/>
    <w:rsid w:val="00572031"/>
    <w:rsid w:val="00572282"/>
    <w:rsid w:val="00572DDF"/>
    <w:rsid w:val="00573CE3"/>
    <w:rsid w:val="00576E84"/>
    <w:rsid w:val="00580394"/>
    <w:rsid w:val="005809CD"/>
    <w:rsid w:val="00582B8C"/>
    <w:rsid w:val="0058757E"/>
    <w:rsid w:val="00596A4B"/>
    <w:rsid w:val="00597507"/>
    <w:rsid w:val="005A1CE2"/>
    <w:rsid w:val="005A479D"/>
    <w:rsid w:val="005B1C6D"/>
    <w:rsid w:val="005B21B6"/>
    <w:rsid w:val="005B3A08"/>
    <w:rsid w:val="005B6AB9"/>
    <w:rsid w:val="005B7A63"/>
    <w:rsid w:val="005C0955"/>
    <w:rsid w:val="005C49DA"/>
    <w:rsid w:val="005C50F3"/>
    <w:rsid w:val="005C54B5"/>
    <w:rsid w:val="005C5D80"/>
    <w:rsid w:val="005C5D91"/>
    <w:rsid w:val="005D07B8"/>
    <w:rsid w:val="005D11D2"/>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78A3"/>
    <w:rsid w:val="00620154"/>
    <w:rsid w:val="0062408D"/>
    <w:rsid w:val="006240CC"/>
    <w:rsid w:val="00624940"/>
    <w:rsid w:val="006254F8"/>
    <w:rsid w:val="00625DAD"/>
    <w:rsid w:val="00627DA7"/>
    <w:rsid w:val="00630DA4"/>
    <w:rsid w:val="00631CD4"/>
    <w:rsid w:val="00632597"/>
    <w:rsid w:val="00634D13"/>
    <w:rsid w:val="006358B4"/>
    <w:rsid w:val="00637F6C"/>
    <w:rsid w:val="00641724"/>
    <w:rsid w:val="006419AA"/>
    <w:rsid w:val="00644B1F"/>
    <w:rsid w:val="00644B7E"/>
    <w:rsid w:val="006454E6"/>
    <w:rsid w:val="00646235"/>
    <w:rsid w:val="00646A68"/>
    <w:rsid w:val="006505BD"/>
    <w:rsid w:val="006508EA"/>
    <w:rsid w:val="0065092E"/>
    <w:rsid w:val="006557A7"/>
    <w:rsid w:val="006561C5"/>
    <w:rsid w:val="00656290"/>
    <w:rsid w:val="006601C9"/>
    <w:rsid w:val="006608D8"/>
    <w:rsid w:val="006621D7"/>
    <w:rsid w:val="0066302A"/>
    <w:rsid w:val="00664EE7"/>
    <w:rsid w:val="00667770"/>
    <w:rsid w:val="00670597"/>
    <w:rsid w:val="006706D0"/>
    <w:rsid w:val="006728FD"/>
    <w:rsid w:val="006744C6"/>
    <w:rsid w:val="00677574"/>
    <w:rsid w:val="006812ED"/>
    <w:rsid w:val="00683878"/>
    <w:rsid w:val="00684380"/>
    <w:rsid w:val="0068454C"/>
    <w:rsid w:val="00691B62"/>
    <w:rsid w:val="006933B5"/>
    <w:rsid w:val="00693546"/>
    <w:rsid w:val="00693684"/>
    <w:rsid w:val="00693D14"/>
    <w:rsid w:val="0069605A"/>
    <w:rsid w:val="00696F27"/>
    <w:rsid w:val="006A18C2"/>
    <w:rsid w:val="006A3383"/>
    <w:rsid w:val="006B077C"/>
    <w:rsid w:val="006B0C81"/>
    <w:rsid w:val="006B65CE"/>
    <w:rsid w:val="006B6803"/>
    <w:rsid w:val="006D0F16"/>
    <w:rsid w:val="006D2A3F"/>
    <w:rsid w:val="006D2FBC"/>
    <w:rsid w:val="006D3EF9"/>
    <w:rsid w:val="006D6E34"/>
    <w:rsid w:val="006E138B"/>
    <w:rsid w:val="006E1867"/>
    <w:rsid w:val="006E1FBE"/>
    <w:rsid w:val="006F0330"/>
    <w:rsid w:val="006F1FDC"/>
    <w:rsid w:val="006F6B76"/>
    <w:rsid w:val="006F6B8C"/>
    <w:rsid w:val="007013EF"/>
    <w:rsid w:val="007019B6"/>
    <w:rsid w:val="007055BD"/>
    <w:rsid w:val="0071431B"/>
    <w:rsid w:val="007173CA"/>
    <w:rsid w:val="007216AA"/>
    <w:rsid w:val="00721AB5"/>
    <w:rsid w:val="00721CFB"/>
    <w:rsid w:val="00721DEF"/>
    <w:rsid w:val="00724A43"/>
    <w:rsid w:val="007273AC"/>
    <w:rsid w:val="00731AD4"/>
    <w:rsid w:val="007346E4"/>
    <w:rsid w:val="00735564"/>
    <w:rsid w:val="00740F22"/>
    <w:rsid w:val="00741827"/>
    <w:rsid w:val="00741CF0"/>
    <w:rsid w:val="00741F1A"/>
    <w:rsid w:val="007447DA"/>
    <w:rsid w:val="007450F8"/>
    <w:rsid w:val="0074696E"/>
    <w:rsid w:val="00750135"/>
    <w:rsid w:val="00750EC2"/>
    <w:rsid w:val="00752B28"/>
    <w:rsid w:val="007536BC"/>
    <w:rsid w:val="007541A9"/>
    <w:rsid w:val="00754712"/>
    <w:rsid w:val="00754E36"/>
    <w:rsid w:val="00763139"/>
    <w:rsid w:val="007704BD"/>
    <w:rsid w:val="00770F37"/>
    <w:rsid w:val="007711A0"/>
    <w:rsid w:val="00772D5E"/>
    <w:rsid w:val="0077463E"/>
    <w:rsid w:val="00776928"/>
    <w:rsid w:val="00776D56"/>
    <w:rsid w:val="00776E0F"/>
    <w:rsid w:val="007774B1"/>
    <w:rsid w:val="00777BE1"/>
    <w:rsid w:val="007805B9"/>
    <w:rsid w:val="00782222"/>
    <w:rsid w:val="007833D8"/>
    <w:rsid w:val="00785677"/>
    <w:rsid w:val="00785D92"/>
    <w:rsid w:val="00785F77"/>
    <w:rsid w:val="00786F16"/>
    <w:rsid w:val="00791BD7"/>
    <w:rsid w:val="0079222B"/>
    <w:rsid w:val="007933F7"/>
    <w:rsid w:val="00796E20"/>
    <w:rsid w:val="00797C32"/>
    <w:rsid w:val="007A11E8"/>
    <w:rsid w:val="007B0914"/>
    <w:rsid w:val="007B1374"/>
    <w:rsid w:val="007B32E5"/>
    <w:rsid w:val="007B3DB9"/>
    <w:rsid w:val="007B589F"/>
    <w:rsid w:val="007B6186"/>
    <w:rsid w:val="007B73BC"/>
    <w:rsid w:val="007C1838"/>
    <w:rsid w:val="007C20B9"/>
    <w:rsid w:val="007C6E9F"/>
    <w:rsid w:val="007C7301"/>
    <w:rsid w:val="007C7859"/>
    <w:rsid w:val="007C7F28"/>
    <w:rsid w:val="007D1466"/>
    <w:rsid w:val="007D2397"/>
    <w:rsid w:val="007D2BDE"/>
    <w:rsid w:val="007D2FB6"/>
    <w:rsid w:val="007D3595"/>
    <w:rsid w:val="007D49EB"/>
    <w:rsid w:val="007D4BA1"/>
    <w:rsid w:val="007D596F"/>
    <w:rsid w:val="007D5E1C"/>
    <w:rsid w:val="007E0DE2"/>
    <w:rsid w:val="007E3667"/>
    <w:rsid w:val="007E3B98"/>
    <w:rsid w:val="007E417A"/>
    <w:rsid w:val="007F31B6"/>
    <w:rsid w:val="007F546C"/>
    <w:rsid w:val="007F5D4F"/>
    <w:rsid w:val="007F625F"/>
    <w:rsid w:val="007F665E"/>
    <w:rsid w:val="00800412"/>
    <w:rsid w:val="0080587B"/>
    <w:rsid w:val="00806468"/>
    <w:rsid w:val="0081063C"/>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695C"/>
    <w:rsid w:val="00857C5A"/>
    <w:rsid w:val="0086255E"/>
    <w:rsid w:val="008633F0"/>
    <w:rsid w:val="00867D9D"/>
    <w:rsid w:val="00872E0A"/>
    <w:rsid w:val="00873594"/>
    <w:rsid w:val="00875285"/>
    <w:rsid w:val="00884B62"/>
    <w:rsid w:val="0088529C"/>
    <w:rsid w:val="00887903"/>
    <w:rsid w:val="0089270A"/>
    <w:rsid w:val="0089352E"/>
    <w:rsid w:val="00893AF6"/>
    <w:rsid w:val="00894BC4"/>
    <w:rsid w:val="00896890"/>
    <w:rsid w:val="008A28A8"/>
    <w:rsid w:val="008A5B32"/>
    <w:rsid w:val="008B2029"/>
    <w:rsid w:val="008B2EE4"/>
    <w:rsid w:val="008B3821"/>
    <w:rsid w:val="008B4D3D"/>
    <w:rsid w:val="008B57C7"/>
    <w:rsid w:val="008B79CF"/>
    <w:rsid w:val="008C2F92"/>
    <w:rsid w:val="008C3546"/>
    <w:rsid w:val="008C48B9"/>
    <w:rsid w:val="008C589D"/>
    <w:rsid w:val="008C5BC2"/>
    <w:rsid w:val="008C6D51"/>
    <w:rsid w:val="008D2846"/>
    <w:rsid w:val="008D4236"/>
    <w:rsid w:val="008D462F"/>
    <w:rsid w:val="008D6DCF"/>
    <w:rsid w:val="008E1309"/>
    <w:rsid w:val="008E4376"/>
    <w:rsid w:val="008E7A0A"/>
    <w:rsid w:val="008E7B49"/>
    <w:rsid w:val="008F59F6"/>
    <w:rsid w:val="00900719"/>
    <w:rsid w:val="009017AC"/>
    <w:rsid w:val="00902A9A"/>
    <w:rsid w:val="00904460"/>
    <w:rsid w:val="00904A1C"/>
    <w:rsid w:val="00905030"/>
    <w:rsid w:val="00906490"/>
    <w:rsid w:val="00910139"/>
    <w:rsid w:val="009111B2"/>
    <w:rsid w:val="009151F5"/>
    <w:rsid w:val="00924AE1"/>
    <w:rsid w:val="00924B57"/>
    <w:rsid w:val="009257AC"/>
    <w:rsid w:val="009269B1"/>
    <w:rsid w:val="0092724D"/>
    <w:rsid w:val="009272B3"/>
    <w:rsid w:val="009315BE"/>
    <w:rsid w:val="009326DD"/>
    <w:rsid w:val="0093338F"/>
    <w:rsid w:val="00937BD9"/>
    <w:rsid w:val="00950E2C"/>
    <w:rsid w:val="00951D50"/>
    <w:rsid w:val="009525EB"/>
    <w:rsid w:val="00954646"/>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B30"/>
    <w:rsid w:val="00982CF0"/>
    <w:rsid w:val="0098430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38B8"/>
    <w:rsid w:val="009E496F"/>
    <w:rsid w:val="009E4B0D"/>
    <w:rsid w:val="009E5250"/>
    <w:rsid w:val="009E7A69"/>
    <w:rsid w:val="009E7C39"/>
    <w:rsid w:val="009E7F92"/>
    <w:rsid w:val="009F02A3"/>
    <w:rsid w:val="009F2182"/>
    <w:rsid w:val="009F2F27"/>
    <w:rsid w:val="009F34AA"/>
    <w:rsid w:val="009F6BCB"/>
    <w:rsid w:val="009F74FC"/>
    <w:rsid w:val="009F7B78"/>
    <w:rsid w:val="00A0057A"/>
    <w:rsid w:val="00A01FB1"/>
    <w:rsid w:val="00A02FA1"/>
    <w:rsid w:val="00A04CCE"/>
    <w:rsid w:val="00A07421"/>
    <w:rsid w:val="00A0776B"/>
    <w:rsid w:val="00A10FB9"/>
    <w:rsid w:val="00A11421"/>
    <w:rsid w:val="00A13374"/>
    <w:rsid w:val="00A1389F"/>
    <w:rsid w:val="00A157B1"/>
    <w:rsid w:val="00A22229"/>
    <w:rsid w:val="00A24442"/>
    <w:rsid w:val="00A24ADA"/>
    <w:rsid w:val="00A30E54"/>
    <w:rsid w:val="00A32577"/>
    <w:rsid w:val="00A330BB"/>
    <w:rsid w:val="00A348A8"/>
    <w:rsid w:val="00A348E7"/>
    <w:rsid w:val="00A377A3"/>
    <w:rsid w:val="00A446F5"/>
    <w:rsid w:val="00A44882"/>
    <w:rsid w:val="00A45125"/>
    <w:rsid w:val="00A51326"/>
    <w:rsid w:val="00A54715"/>
    <w:rsid w:val="00A551DC"/>
    <w:rsid w:val="00A6061C"/>
    <w:rsid w:val="00A628A3"/>
    <w:rsid w:val="00A62D44"/>
    <w:rsid w:val="00A67263"/>
    <w:rsid w:val="00A7161C"/>
    <w:rsid w:val="00A71CE4"/>
    <w:rsid w:val="00A77058"/>
    <w:rsid w:val="00A77AA3"/>
    <w:rsid w:val="00A81030"/>
    <w:rsid w:val="00A8236D"/>
    <w:rsid w:val="00A854EB"/>
    <w:rsid w:val="00A872E5"/>
    <w:rsid w:val="00A91406"/>
    <w:rsid w:val="00A96E65"/>
    <w:rsid w:val="00A96ECE"/>
    <w:rsid w:val="00A97C72"/>
    <w:rsid w:val="00AA310B"/>
    <w:rsid w:val="00AA63D4"/>
    <w:rsid w:val="00AB06E8"/>
    <w:rsid w:val="00AB1CD3"/>
    <w:rsid w:val="00AB1F16"/>
    <w:rsid w:val="00AB352F"/>
    <w:rsid w:val="00AC274B"/>
    <w:rsid w:val="00AC2A6E"/>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3C3"/>
    <w:rsid w:val="00B01B4D"/>
    <w:rsid w:val="00B04489"/>
    <w:rsid w:val="00B06571"/>
    <w:rsid w:val="00B068BA"/>
    <w:rsid w:val="00B06923"/>
    <w:rsid w:val="00B07217"/>
    <w:rsid w:val="00B13851"/>
    <w:rsid w:val="00B13B1C"/>
    <w:rsid w:val="00B14B5F"/>
    <w:rsid w:val="00B21F90"/>
    <w:rsid w:val="00B22291"/>
    <w:rsid w:val="00B2326E"/>
    <w:rsid w:val="00B23F9A"/>
    <w:rsid w:val="00B2417B"/>
    <w:rsid w:val="00B24E6F"/>
    <w:rsid w:val="00B26CB5"/>
    <w:rsid w:val="00B2752E"/>
    <w:rsid w:val="00B307CC"/>
    <w:rsid w:val="00B326B7"/>
    <w:rsid w:val="00B3588E"/>
    <w:rsid w:val="00B40313"/>
    <w:rsid w:val="00B411DC"/>
    <w:rsid w:val="00B4198F"/>
    <w:rsid w:val="00B41F3D"/>
    <w:rsid w:val="00B42C08"/>
    <w:rsid w:val="00B431E8"/>
    <w:rsid w:val="00B4339E"/>
    <w:rsid w:val="00B45141"/>
    <w:rsid w:val="00B519CD"/>
    <w:rsid w:val="00B5273A"/>
    <w:rsid w:val="00B57329"/>
    <w:rsid w:val="00B60E61"/>
    <w:rsid w:val="00B62B50"/>
    <w:rsid w:val="00B635B7"/>
    <w:rsid w:val="00B63AE8"/>
    <w:rsid w:val="00B65950"/>
    <w:rsid w:val="00B664DE"/>
    <w:rsid w:val="00B66D83"/>
    <w:rsid w:val="00B672C0"/>
    <w:rsid w:val="00B676FD"/>
    <w:rsid w:val="00B678B6"/>
    <w:rsid w:val="00B75646"/>
    <w:rsid w:val="00B7629E"/>
    <w:rsid w:val="00B83284"/>
    <w:rsid w:val="00B90729"/>
    <w:rsid w:val="00B907DA"/>
    <w:rsid w:val="00B94C5E"/>
    <w:rsid w:val="00B950BC"/>
    <w:rsid w:val="00B9714C"/>
    <w:rsid w:val="00BA1D76"/>
    <w:rsid w:val="00BA29AD"/>
    <w:rsid w:val="00BA33CF"/>
    <w:rsid w:val="00BA3F8D"/>
    <w:rsid w:val="00BB7A10"/>
    <w:rsid w:val="00BC60BE"/>
    <w:rsid w:val="00BC7468"/>
    <w:rsid w:val="00BC7D4F"/>
    <w:rsid w:val="00BC7ED7"/>
    <w:rsid w:val="00BD2850"/>
    <w:rsid w:val="00BD7FB7"/>
    <w:rsid w:val="00BE13CB"/>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4CE5"/>
    <w:rsid w:val="00C15D95"/>
    <w:rsid w:val="00C20E96"/>
    <w:rsid w:val="00C26588"/>
    <w:rsid w:val="00C27DE9"/>
    <w:rsid w:val="00C32989"/>
    <w:rsid w:val="00C33388"/>
    <w:rsid w:val="00C35484"/>
    <w:rsid w:val="00C4173A"/>
    <w:rsid w:val="00C461DD"/>
    <w:rsid w:val="00C50A77"/>
    <w:rsid w:val="00C50DED"/>
    <w:rsid w:val="00C52217"/>
    <w:rsid w:val="00C56371"/>
    <w:rsid w:val="00C602FF"/>
    <w:rsid w:val="00C60411"/>
    <w:rsid w:val="00C60CCD"/>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595B"/>
    <w:rsid w:val="00CA6611"/>
    <w:rsid w:val="00CA6AE6"/>
    <w:rsid w:val="00CA782F"/>
    <w:rsid w:val="00CB0150"/>
    <w:rsid w:val="00CB187B"/>
    <w:rsid w:val="00CB2835"/>
    <w:rsid w:val="00CB3285"/>
    <w:rsid w:val="00CB4500"/>
    <w:rsid w:val="00CB5EA8"/>
    <w:rsid w:val="00CC0C72"/>
    <w:rsid w:val="00CC2BFD"/>
    <w:rsid w:val="00CC6F40"/>
    <w:rsid w:val="00CD3476"/>
    <w:rsid w:val="00CD64DF"/>
    <w:rsid w:val="00CE225F"/>
    <w:rsid w:val="00CF230C"/>
    <w:rsid w:val="00CF2F50"/>
    <w:rsid w:val="00CF6198"/>
    <w:rsid w:val="00D02919"/>
    <w:rsid w:val="00D04C61"/>
    <w:rsid w:val="00D05B8D"/>
    <w:rsid w:val="00D05B9B"/>
    <w:rsid w:val="00D065A2"/>
    <w:rsid w:val="00D079AA"/>
    <w:rsid w:val="00D07F00"/>
    <w:rsid w:val="00D1130F"/>
    <w:rsid w:val="00D1571F"/>
    <w:rsid w:val="00D17B72"/>
    <w:rsid w:val="00D3185C"/>
    <w:rsid w:val="00D3205F"/>
    <w:rsid w:val="00D3318E"/>
    <w:rsid w:val="00D33E72"/>
    <w:rsid w:val="00D35AEC"/>
    <w:rsid w:val="00D35BD6"/>
    <w:rsid w:val="00D361B5"/>
    <w:rsid w:val="00D411A2"/>
    <w:rsid w:val="00D4606D"/>
    <w:rsid w:val="00D50B9C"/>
    <w:rsid w:val="00D513AF"/>
    <w:rsid w:val="00D51E99"/>
    <w:rsid w:val="00D52D73"/>
    <w:rsid w:val="00D52E58"/>
    <w:rsid w:val="00D56B20"/>
    <w:rsid w:val="00D578B3"/>
    <w:rsid w:val="00D607CA"/>
    <w:rsid w:val="00D618F4"/>
    <w:rsid w:val="00D63636"/>
    <w:rsid w:val="00D640AD"/>
    <w:rsid w:val="00D6578A"/>
    <w:rsid w:val="00D714CC"/>
    <w:rsid w:val="00D74E56"/>
    <w:rsid w:val="00D75EA7"/>
    <w:rsid w:val="00D77252"/>
    <w:rsid w:val="00D81ADF"/>
    <w:rsid w:val="00D81F21"/>
    <w:rsid w:val="00D864F2"/>
    <w:rsid w:val="00D943F8"/>
    <w:rsid w:val="00D95470"/>
    <w:rsid w:val="00D96B55"/>
    <w:rsid w:val="00DA2619"/>
    <w:rsid w:val="00DA4239"/>
    <w:rsid w:val="00DA588C"/>
    <w:rsid w:val="00DA6189"/>
    <w:rsid w:val="00DA65DE"/>
    <w:rsid w:val="00DB0B61"/>
    <w:rsid w:val="00DB1474"/>
    <w:rsid w:val="00DB2962"/>
    <w:rsid w:val="00DB52FB"/>
    <w:rsid w:val="00DC00C1"/>
    <w:rsid w:val="00DC013B"/>
    <w:rsid w:val="00DC090B"/>
    <w:rsid w:val="00DC1679"/>
    <w:rsid w:val="00DC219B"/>
    <w:rsid w:val="00DC2CF1"/>
    <w:rsid w:val="00DC2DC7"/>
    <w:rsid w:val="00DC3A7C"/>
    <w:rsid w:val="00DC4864"/>
    <w:rsid w:val="00DC4FCF"/>
    <w:rsid w:val="00DC50E0"/>
    <w:rsid w:val="00DC6386"/>
    <w:rsid w:val="00DC71C1"/>
    <w:rsid w:val="00DD1130"/>
    <w:rsid w:val="00DD1951"/>
    <w:rsid w:val="00DD487D"/>
    <w:rsid w:val="00DD4E83"/>
    <w:rsid w:val="00DD6628"/>
    <w:rsid w:val="00DD6945"/>
    <w:rsid w:val="00DE2D04"/>
    <w:rsid w:val="00DE3250"/>
    <w:rsid w:val="00DE6028"/>
    <w:rsid w:val="00DE6C85"/>
    <w:rsid w:val="00DE78A3"/>
    <w:rsid w:val="00DF0FC7"/>
    <w:rsid w:val="00DF1A71"/>
    <w:rsid w:val="00DF50FC"/>
    <w:rsid w:val="00DF68C7"/>
    <w:rsid w:val="00DF731A"/>
    <w:rsid w:val="00E002BD"/>
    <w:rsid w:val="00E04BBB"/>
    <w:rsid w:val="00E06B75"/>
    <w:rsid w:val="00E11332"/>
    <w:rsid w:val="00E11352"/>
    <w:rsid w:val="00E170DC"/>
    <w:rsid w:val="00E17546"/>
    <w:rsid w:val="00E2006D"/>
    <w:rsid w:val="00E210B5"/>
    <w:rsid w:val="00E261B3"/>
    <w:rsid w:val="00E26818"/>
    <w:rsid w:val="00E27FFC"/>
    <w:rsid w:val="00E30B15"/>
    <w:rsid w:val="00E33237"/>
    <w:rsid w:val="00E34CF5"/>
    <w:rsid w:val="00E40181"/>
    <w:rsid w:val="00E419AD"/>
    <w:rsid w:val="00E432DD"/>
    <w:rsid w:val="00E548BD"/>
    <w:rsid w:val="00E54950"/>
    <w:rsid w:val="00E55A5A"/>
    <w:rsid w:val="00E55FB3"/>
    <w:rsid w:val="00E56A01"/>
    <w:rsid w:val="00E629A1"/>
    <w:rsid w:val="00E654B8"/>
    <w:rsid w:val="00E6794C"/>
    <w:rsid w:val="00E71591"/>
    <w:rsid w:val="00E71CEB"/>
    <w:rsid w:val="00E7474F"/>
    <w:rsid w:val="00E80DE3"/>
    <w:rsid w:val="00E82C55"/>
    <w:rsid w:val="00E8787E"/>
    <w:rsid w:val="00E92A47"/>
    <w:rsid w:val="00E92AC3"/>
    <w:rsid w:val="00EA21C5"/>
    <w:rsid w:val="00EA2541"/>
    <w:rsid w:val="00EA2F6A"/>
    <w:rsid w:val="00EA601D"/>
    <w:rsid w:val="00EB00E0"/>
    <w:rsid w:val="00EB05D5"/>
    <w:rsid w:val="00EB4BC7"/>
    <w:rsid w:val="00EB7E3F"/>
    <w:rsid w:val="00EC059F"/>
    <w:rsid w:val="00EC1F24"/>
    <w:rsid w:val="00EC22F6"/>
    <w:rsid w:val="00EC3DB9"/>
    <w:rsid w:val="00ED5B9B"/>
    <w:rsid w:val="00ED6BAD"/>
    <w:rsid w:val="00ED7447"/>
    <w:rsid w:val="00ED7762"/>
    <w:rsid w:val="00EE00D6"/>
    <w:rsid w:val="00EE0D5F"/>
    <w:rsid w:val="00EE11E7"/>
    <w:rsid w:val="00EE1488"/>
    <w:rsid w:val="00EE29AD"/>
    <w:rsid w:val="00EE3E24"/>
    <w:rsid w:val="00EE4D5D"/>
    <w:rsid w:val="00EE5131"/>
    <w:rsid w:val="00EF109B"/>
    <w:rsid w:val="00EF201C"/>
    <w:rsid w:val="00EF2C72"/>
    <w:rsid w:val="00EF36AF"/>
    <w:rsid w:val="00EF3ED2"/>
    <w:rsid w:val="00EF59A3"/>
    <w:rsid w:val="00EF6675"/>
    <w:rsid w:val="00F0063D"/>
    <w:rsid w:val="00F00F9C"/>
    <w:rsid w:val="00F01E5F"/>
    <w:rsid w:val="00F024F3"/>
    <w:rsid w:val="00F02ABA"/>
    <w:rsid w:val="00F0437A"/>
    <w:rsid w:val="00F04C1B"/>
    <w:rsid w:val="00F04DD3"/>
    <w:rsid w:val="00F101B8"/>
    <w:rsid w:val="00F11037"/>
    <w:rsid w:val="00F11F37"/>
    <w:rsid w:val="00F16F1B"/>
    <w:rsid w:val="00F250A9"/>
    <w:rsid w:val="00F25E54"/>
    <w:rsid w:val="00F267AF"/>
    <w:rsid w:val="00F30FF4"/>
    <w:rsid w:val="00F3122E"/>
    <w:rsid w:val="00F31D48"/>
    <w:rsid w:val="00F32368"/>
    <w:rsid w:val="00F331AD"/>
    <w:rsid w:val="00F35287"/>
    <w:rsid w:val="00F367DC"/>
    <w:rsid w:val="00F40A70"/>
    <w:rsid w:val="00F43A37"/>
    <w:rsid w:val="00F43A7A"/>
    <w:rsid w:val="00F4641B"/>
    <w:rsid w:val="00F46E01"/>
    <w:rsid w:val="00F46EB8"/>
    <w:rsid w:val="00F50CD1"/>
    <w:rsid w:val="00F511E4"/>
    <w:rsid w:val="00F52D09"/>
    <w:rsid w:val="00F52E08"/>
    <w:rsid w:val="00F53A66"/>
    <w:rsid w:val="00F5462D"/>
    <w:rsid w:val="00F55B21"/>
    <w:rsid w:val="00F56EF6"/>
    <w:rsid w:val="00F60082"/>
    <w:rsid w:val="00F61A9F"/>
    <w:rsid w:val="00F61B5F"/>
    <w:rsid w:val="00F640F3"/>
    <w:rsid w:val="00F64696"/>
    <w:rsid w:val="00F65AA9"/>
    <w:rsid w:val="00F6768F"/>
    <w:rsid w:val="00F72C2C"/>
    <w:rsid w:val="00F741F2"/>
    <w:rsid w:val="00F76CAB"/>
    <w:rsid w:val="00F772C6"/>
    <w:rsid w:val="00F8050D"/>
    <w:rsid w:val="00F815B5"/>
    <w:rsid w:val="00F85195"/>
    <w:rsid w:val="00F857D4"/>
    <w:rsid w:val="00F868E3"/>
    <w:rsid w:val="00F92EAF"/>
    <w:rsid w:val="00F938BA"/>
    <w:rsid w:val="00F96CFB"/>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0AF"/>
    <w:rsid w:val="00FE331E"/>
    <w:rsid w:val="00FE3FA7"/>
    <w:rsid w:val="00FE4081"/>
    <w:rsid w:val="00FF2A4E"/>
    <w:rsid w:val="00FF2FCE"/>
    <w:rsid w:val="00FF4F7D"/>
    <w:rsid w:val="00FF6D9D"/>
    <w:rsid w:val="00FF7620"/>
    <w:rsid w:val="00FF7DD5"/>
    <w:rsid w:val="02F639B8"/>
    <w:rsid w:val="0DD1B986"/>
    <w:rsid w:val="10FC79A1"/>
    <w:rsid w:val="20673635"/>
    <w:rsid w:val="2714A36F"/>
    <w:rsid w:val="2D21C1BF"/>
    <w:rsid w:val="38D8EED2"/>
    <w:rsid w:val="42AA7A33"/>
    <w:rsid w:val="502405F9"/>
    <w:rsid w:val="5341EBD2"/>
    <w:rsid w:val="6E9B43E7"/>
    <w:rsid w:val="7131292A"/>
    <w:rsid w:val="714A8B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D00D77DB-1C44-4B0F-8118-ADFAD561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1"/>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1"/>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1"/>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1"/>
    <w:rsid w:val="00407918"/>
    <w:rPr>
      <w:rFonts w:ascii="Arial" w:hAnsi="Arial"/>
      <w:b/>
      <w:color w:val="5C308D"/>
      <w:sz w:val="32"/>
      <w:szCs w:val="28"/>
      <w:lang w:eastAsia="en-US"/>
    </w:rPr>
  </w:style>
  <w:style w:type="character" w:customStyle="1" w:styleId="Heading3Char">
    <w:name w:val="Heading 3 Char"/>
    <w:link w:val="Heading3"/>
    <w:uiPriority w:val="9"/>
    <w:rsid w:val="00407918"/>
    <w:rPr>
      <w:rFonts w:ascii="Arial" w:eastAsia="MS Gothic" w:hAnsi="Arial"/>
      <w:bCs/>
      <w:color w:val="5C308D"/>
      <w:sz w:val="28"/>
      <w:szCs w:val="26"/>
      <w:lang w:eastAsia="en-US"/>
    </w:rPr>
  </w:style>
  <w:style w:type="character" w:customStyle="1" w:styleId="Heading4Char">
    <w:name w:val="Heading 4 Char"/>
    <w:link w:val="Heading4"/>
    <w:uiPriority w:val="1"/>
    <w:rsid w:val="00407918"/>
    <w:rPr>
      <w:rFonts w:ascii="Arial" w:eastAsia="MS Mincho" w:hAnsi="Arial"/>
      <w:b/>
      <w:bCs/>
      <w:color w:val="5C308D"/>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 w:type="paragraph" w:styleId="ListParagraph">
    <w:name w:val="List Paragraph"/>
    <w:basedOn w:val="Normal"/>
    <w:uiPriority w:val="34"/>
    <w:qFormat/>
    <w:rsid w:val="00055213"/>
    <w:pPr>
      <w:spacing w:after="160" w:line="259" w:lineRule="auto"/>
      <w:ind w:left="720"/>
      <w:contextualSpacing/>
    </w:pPr>
    <w:rPr>
      <w:rFonts w:ascii="VIC" w:eastAsiaTheme="minorHAnsi" w:hAnsi="VIC" w:cstheme="minorBidi"/>
      <w:sz w:val="22"/>
      <w:szCs w:val="22"/>
    </w:rPr>
  </w:style>
  <w:style w:type="paragraph" w:styleId="NormalWeb">
    <w:name w:val="Normal (Web)"/>
    <w:basedOn w:val="Normal"/>
    <w:uiPriority w:val="99"/>
    <w:unhideWhenUsed/>
    <w:rsid w:val="00055213"/>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semiHidden/>
    <w:unhideWhenUsed/>
    <w:qFormat/>
    <w:rsid w:val="003E5E2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6129261">
      <w:bodyDiv w:val="1"/>
      <w:marLeft w:val="0"/>
      <w:marRight w:val="0"/>
      <w:marTop w:val="0"/>
      <w:marBottom w:val="0"/>
      <w:divBdr>
        <w:top w:val="none" w:sz="0" w:space="0" w:color="auto"/>
        <w:left w:val="none" w:sz="0" w:space="0" w:color="auto"/>
        <w:bottom w:val="none" w:sz="0" w:space="0" w:color="auto"/>
        <w:right w:val="none" w:sz="0" w:space="0" w:color="auto"/>
      </w:divBdr>
    </w:div>
    <w:div w:id="33712537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enderequalitycommission.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nquiries@genderequalitycommission.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vic.gov.au/in-force/acts/gender-equality-act-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towards-best-practice-guide-regul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50f00e27-c35f-46eb-9301-c9e2bd24673f"/>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7cb37dd-16a1-4d7b-8276-5c0e4168f63b"/>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2025-2028 Regulator Approach</vt:lpstr>
    </vt:vector>
  </TitlesOfParts>
  <Company>Victoria State Government, Commission for Gender Equality in the Public Sector</Company>
  <LinksUpToDate>false</LinksUpToDate>
  <CharactersWithSpaces>21597</CharactersWithSpaces>
  <SharedDoc>false</SharedDoc>
  <HyperlinkBase/>
  <HLinks>
    <vt:vector size="108" baseType="variant">
      <vt:variant>
        <vt:i4>5046297</vt:i4>
      </vt:variant>
      <vt:variant>
        <vt:i4>96</vt:i4>
      </vt:variant>
      <vt:variant>
        <vt:i4>0</vt:i4>
      </vt:variant>
      <vt:variant>
        <vt:i4>5</vt:i4>
      </vt:variant>
      <vt:variant>
        <vt:lpwstr>https://www.legislation.vic.gov.au/in-force/acts/gender-equality-act-2020</vt:lpwstr>
      </vt:variant>
      <vt:variant>
        <vt:lpwstr/>
      </vt:variant>
      <vt:variant>
        <vt:i4>1703986</vt:i4>
      </vt:variant>
      <vt:variant>
        <vt:i4>89</vt:i4>
      </vt:variant>
      <vt:variant>
        <vt:i4>0</vt:i4>
      </vt:variant>
      <vt:variant>
        <vt:i4>5</vt:i4>
      </vt:variant>
      <vt:variant>
        <vt:lpwstr/>
      </vt:variant>
      <vt:variant>
        <vt:lpwstr>_Toc193703001</vt:lpwstr>
      </vt:variant>
      <vt:variant>
        <vt:i4>1703986</vt:i4>
      </vt:variant>
      <vt:variant>
        <vt:i4>83</vt:i4>
      </vt:variant>
      <vt:variant>
        <vt:i4>0</vt:i4>
      </vt:variant>
      <vt:variant>
        <vt:i4>5</vt:i4>
      </vt:variant>
      <vt:variant>
        <vt:lpwstr/>
      </vt:variant>
      <vt:variant>
        <vt:lpwstr>_Toc193703000</vt:lpwstr>
      </vt:variant>
      <vt:variant>
        <vt:i4>1179707</vt:i4>
      </vt:variant>
      <vt:variant>
        <vt:i4>77</vt:i4>
      </vt:variant>
      <vt:variant>
        <vt:i4>0</vt:i4>
      </vt:variant>
      <vt:variant>
        <vt:i4>5</vt:i4>
      </vt:variant>
      <vt:variant>
        <vt:lpwstr/>
      </vt:variant>
      <vt:variant>
        <vt:lpwstr>_Toc193702999</vt:lpwstr>
      </vt:variant>
      <vt:variant>
        <vt:i4>1179707</vt:i4>
      </vt:variant>
      <vt:variant>
        <vt:i4>71</vt:i4>
      </vt:variant>
      <vt:variant>
        <vt:i4>0</vt:i4>
      </vt:variant>
      <vt:variant>
        <vt:i4>5</vt:i4>
      </vt:variant>
      <vt:variant>
        <vt:lpwstr/>
      </vt:variant>
      <vt:variant>
        <vt:lpwstr>_Toc193702998</vt:lpwstr>
      </vt:variant>
      <vt:variant>
        <vt:i4>1179707</vt:i4>
      </vt:variant>
      <vt:variant>
        <vt:i4>65</vt:i4>
      </vt:variant>
      <vt:variant>
        <vt:i4>0</vt:i4>
      </vt:variant>
      <vt:variant>
        <vt:i4>5</vt:i4>
      </vt:variant>
      <vt:variant>
        <vt:lpwstr/>
      </vt:variant>
      <vt:variant>
        <vt:lpwstr>_Toc193702997</vt:lpwstr>
      </vt:variant>
      <vt:variant>
        <vt:i4>1179707</vt:i4>
      </vt:variant>
      <vt:variant>
        <vt:i4>59</vt:i4>
      </vt:variant>
      <vt:variant>
        <vt:i4>0</vt:i4>
      </vt:variant>
      <vt:variant>
        <vt:i4>5</vt:i4>
      </vt:variant>
      <vt:variant>
        <vt:lpwstr/>
      </vt:variant>
      <vt:variant>
        <vt:lpwstr>_Toc193702996</vt:lpwstr>
      </vt:variant>
      <vt:variant>
        <vt:i4>1179707</vt:i4>
      </vt:variant>
      <vt:variant>
        <vt:i4>53</vt:i4>
      </vt:variant>
      <vt:variant>
        <vt:i4>0</vt:i4>
      </vt:variant>
      <vt:variant>
        <vt:i4>5</vt:i4>
      </vt:variant>
      <vt:variant>
        <vt:lpwstr/>
      </vt:variant>
      <vt:variant>
        <vt:lpwstr>_Toc193702995</vt:lpwstr>
      </vt:variant>
      <vt:variant>
        <vt:i4>1179707</vt:i4>
      </vt:variant>
      <vt:variant>
        <vt:i4>47</vt:i4>
      </vt:variant>
      <vt:variant>
        <vt:i4>0</vt:i4>
      </vt:variant>
      <vt:variant>
        <vt:i4>5</vt:i4>
      </vt:variant>
      <vt:variant>
        <vt:lpwstr/>
      </vt:variant>
      <vt:variant>
        <vt:lpwstr>_Toc193702994</vt:lpwstr>
      </vt:variant>
      <vt:variant>
        <vt:i4>1179707</vt:i4>
      </vt:variant>
      <vt:variant>
        <vt:i4>41</vt:i4>
      </vt:variant>
      <vt:variant>
        <vt:i4>0</vt:i4>
      </vt:variant>
      <vt:variant>
        <vt:i4>5</vt:i4>
      </vt:variant>
      <vt:variant>
        <vt:lpwstr/>
      </vt:variant>
      <vt:variant>
        <vt:lpwstr>_Toc193702993</vt:lpwstr>
      </vt:variant>
      <vt:variant>
        <vt:i4>1179707</vt:i4>
      </vt:variant>
      <vt:variant>
        <vt:i4>35</vt:i4>
      </vt:variant>
      <vt:variant>
        <vt:i4>0</vt:i4>
      </vt:variant>
      <vt:variant>
        <vt:i4>5</vt:i4>
      </vt:variant>
      <vt:variant>
        <vt:lpwstr/>
      </vt:variant>
      <vt:variant>
        <vt:lpwstr>_Toc193702992</vt:lpwstr>
      </vt:variant>
      <vt:variant>
        <vt:i4>1179707</vt:i4>
      </vt:variant>
      <vt:variant>
        <vt:i4>29</vt:i4>
      </vt:variant>
      <vt:variant>
        <vt:i4>0</vt:i4>
      </vt:variant>
      <vt:variant>
        <vt:i4>5</vt:i4>
      </vt:variant>
      <vt:variant>
        <vt:lpwstr/>
      </vt:variant>
      <vt:variant>
        <vt:lpwstr>_Toc193702991</vt:lpwstr>
      </vt:variant>
      <vt:variant>
        <vt:i4>1179707</vt:i4>
      </vt:variant>
      <vt:variant>
        <vt:i4>23</vt:i4>
      </vt:variant>
      <vt:variant>
        <vt:i4>0</vt:i4>
      </vt:variant>
      <vt:variant>
        <vt:i4>5</vt:i4>
      </vt:variant>
      <vt:variant>
        <vt:lpwstr/>
      </vt:variant>
      <vt:variant>
        <vt:lpwstr>_Toc193702990</vt:lpwstr>
      </vt:variant>
      <vt:variant>
        <vt:i4>1245243</vt:i4>
      </vt:variant>
      <vt:variant>
        <vt:i4>17</vt:i4>
      </vt:variant>
      <vt:variant>
        <vt:i4>0</vt:i4>
      </vt:variant>
      <vt:variant>
        <vt:i4>5</vt:i4>
      </vt:variant>
      <vt:variant>
        <vt:lpwstr/>
      </vt:variant>
      <vt:variant>
        <vt:lpwstr>_Toc193702989</vt:lpwstr>
      </vt:variant>
      <vt:variant>
        <vt:i4>1245243</vt:i4>
      </vt:variant>
      <vt:variant>
        <vt:i4>11</vt:i4>
      </vt:variant>
      <vt:variant>
        <vt:i4>0</vt:i4>
      </vt:variant>
      <vt:variant>
        <vt:i4>5</vt:i4>
      </vt:variant>
      <vt:variant>
        <vt:lpwstr/>
      </vt:variant>
      <vt:variant>
        <vt:lpwstr>_Toc193702988</vt:lpwstr>
      </vt:variant>
      <vt:variant>
        <vt:i4>6881328</vt:i4>
      </vt:variant>
      <vt:variant>
        <vt:i4>6</vt:i4>
      </vt:variant>
      <vt:variant>
        <vt:i4>0</vt:i4>
      </vt:variant>
      <vt:variant>
        <vt:i4>5</vt:i4>
      </vt:variant>
      <vt:variant>
        <vt:lpwstr>http://www.genderequalitycommission.vic.gov.au/</vt:lpwstr>
      </vt:variant>
      <vt:variant>
        <vt:lpwstr/>
      </vt:variant>
      <vt:variant>
        <vt:i4>4653158</vt:i4>
      </vt:variant>
      <vt:variant>
        <vt:i4>3</vt:i4>
      </vt:variant>
      <vt:variant>
        <vt:i4>0</vt:i4>
      </vt:variant>
      <vt:variant>
        <vt:i4>5</vt:i4>
      </vt:variant>
      <vt:variant>
        <vt:lpwstr>mailto:enquiries@genderequalitycommission.vic.gov.au</vt:lpwstr>
      </vt:variant>
      <vt:variant>
        <vt:lpwstr/>
      </vt:variant>
      <vt:variant>
        <vt:i4>786517</vt:i4>
      </vt:variant>
      <vt:variant>
        <vt:i4>0</vt:i4>
      </vt:variant>
      <vt:variant>
        <vt:i4>0</vt:i4>
      </vt:variant>
      <vt:variant>
        <vt:i4>5</vt:i4>
      </vt:variant>
      <vt:variant>
        <vt:lpwstr>https://www.vic.gov.au/towards-best-practice-guide-regulators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2025-2028 Regulator Approach</dc:title>
  <dc:subject>2025-2028 Regulator Approach</dc:subject>
  <dc:creator>Commission for Gender Equality in the Public Sector</dc:creator>
  <cp:keywords>Regulator approach, compliance, Gender Equality Act 2020</cp:keywords>
  <cp:lastModifiedBy>Hanann Al Daqqa (CGEPS)</cp:lastModifiedBy>
  <cp:revision>2</cp:revision>
  <cp:lastPrinted>2021-01-31T14:27:00Z</cp:lastPrinted>
  <dcterms:created xsi:type="dcterms:W3CDTF">2025-04-14T03:03:00Z</dcterms:created>
  <dcterms:modified xsi:type="dcterms:W3CDTF">2025-04-14T03:03:00Z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03 07022022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2022-02-07T00:10:07Z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