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1449" w14:textId="4034E517" w:rsidR="006D3232" w:rsidRPr="009627B0" w:rsidRDefault="00E47E63" w:rsidP="006D3232">
      <w:pPr>
        <w:pStyle w:val="Heading1"/>
        <w:rPr>
          <w:color w:val="auto"/>
        </w:rPr>
      </w:pPr>
      <w:r w:rsidRPr="00E47E63">
        <w:rPr>
          <w:color w:val="auto"/>
        </w:rPr>
        <w:t xml:space="preserve">People matter survey for </w:t>
      </w:r>
      <w:r w:rsidR="00537D7C">
        <w:rPr>
          <w:color w:val="auto"/>
        </w:rPr>
        <w:t>gender equality reporting</w:t>
      </w:r>
      <w:r w:rsidRPr="00E47E63">
        <w:rPr>
          <w:color w:val="auto"/>
        </w:rPr>
        <w:t xml:space="preserve"> </w:t>
      </w:r>
      <w:r w:rsidR="00537D7C">
        <w:rPr>
          <w:color w:val="auto"/>
        </w:rPr>
        <w:t>2025</w:t>
      </w:r>
    </w:p>
    <w:p w14:paraId="02260ED0" w14:textId="4B91A88E" w:rsidR="006D3232" w:rsidRPr="009627B0" w:rsidRDefault="006D3232" w:rsidP="006D3232">
      <w:pPr>
        <w:pStyle w:val="Heading1"/>
        <w:rPr>
          <w:color w:val="auto"/>
        </w:rPr>
      </w:pPr>
      <w:bookmarkStart w:id="0" w:name="_Toc70589069"/>
      <w:bookmarkStart w:id="1" w:name="_Toc49856751"/>
      <w:bookmarkStart w:id="2" w:name="_Toc49928588"/>
      <w:bookmarkStart w:id="3" w:name="_Toc50534252"/>
      <w:r w:rsidRPr="009627B0">
        <w:rPr>
          <w:color w:val="auto"/>
        </w:rPr>
        <w:t xml:space="preserve">How to promote your survey </w:t>
      </w:r>
      <w:bookmarkEnd w:id="0"/>
    </w:p>
    <w:p w14:paraId="0912F052" w14:textId="3C0468EE" w:rsidR="006D3232" w:rsidRPr="009627B0" w:rsidRDefault="006D3232" w:rsidP="006D3232">
      <w:pPr>
        <w:pStyle w:val="TO3"/>
        <w:rPr>
          <w:rStyle w:val="Strong"/>
          <w:rFonts w:ascii="VIC" w:hAnsi="VIC"/>
        </w:rPr>
      </w:pPr>
      <w:bookmarkStart w:id="4" w:name="_Toc49856752"/>
      <w:bookmarkStart w:id="5" w:name="_Toc49928589"/>
      <w:bookmarkEnd w:id="1"/>
      <w:bookmarkEnd w:id="2"/>
      <w:bookmarkEnd w:id="3"/>
      <w:r w:rsidRPr="2EFD3473">
        <w:rPr>
          <w:rStyle w:val="Strong"/>
          <w:rFonts w:ascii="VIC" w:hAnsi="VIC"/>
        </w:rPr>
        <w:t xml:space="preserve">The </w:t>
      </w:r>
      <w:bookmarkStart w:id="6" w:name="_Toc69384528"/>
      <w:bookmarkStart w:id="7" w:name="_Toc69384616"/>
      <w:bookmarkStart w:id="8" w:name="_Toc69384868"/>
      <w:bookmarkStart w:id="9" w:name="_Toc69460499"/>
      <w:r w:rsidR="00E47E63" w:rsidRPr="00AE0E3E">
        <w:rPr>
          <w:b/>
          <w:bCs/>
        </w:rPr>
        <w:t>People matter survey</w:t>
      </w:r>
      <w:bookmarkEnd w:id="6"/>
      <w:bookmarkEnd w:id="7"/>
      <w:bookmarkEnd w:id="8"/>
      <w:bookmarkEnd w:id="9"/>
      <w:r w:rsidR="00E47E63" w:rsidRPr="00AE0E3E">
        <w:rPr>
          <w:b/>
          <w:bCs/>
        </w:rPr>
        <w:t xml:space="preserve"> for </w:t>
      </w:r>
      <w:r w:rsidR="00537D7C" w:rsidRPr="00AE0E3E">
        <w:rPr>
          <w:b/>
          <w:bCs/>
        </w:rPr>
        <w:t>gender equality reporting</w:t>
      </w:r>
      <w:r w:rsidR="00E47E63">
        <w:t xml:space="preserve"> </w:t>
      </w:r>
      <w:r w:rsidRPr="2EFD3473">
        <w:rPr>
          <w:rStyle w:val="Strong"/>
          <w:rFonts w:ascii="VIC" w:hAnsi="VIC"/>
        </w:rPr>
        <w:t xml:space="preserve">is a safe and anonymous way for employees to </w:t>
      </w:r>
      <w:r w:rsidR="1636B3DD" w:rsidRPr="2EFD3473">
        <w:rPr>
          <w:rStyle w:val="Strong"/>
          <w:rFonts w:ascii="VIC" w:hAnsi="VIC"/>
        </w:rPr>
        <w:t>give feedback to their</w:t>
      </w:r>
      <w:r w:rsidRPr="2EFD3473">
        <w:rPr>
          <w:rStyle w:val="Strong"/>
          <w:rFonts w:ascii="VIC" w:hAnsi="VIC"/>
        </w:rPr>
        <w:t xml:space="preserve"> organisation </w:t>
      </w:r>
      <w:r w:rsidR="6CBDE6B6" w:rsidRPr="2EFD3473">
        <w:rPr>
          <w:rStyle w:val="Strong"/>
          <w:rFonts w:ascii="VIC" w:hAnsi="VIC"/>
        </w:rPr>
        <w:t xml:space="preserve">about their </w:t>
      </w:r>
      <w:r w:rsidR="6A4184ED" w:rsidRPr="2EFD3473">
        <w:rPr>
          <w:rStyle w:val="Strong"/>
          <w:rFonts w:ascii="VIC" w:hAnsi="VIC"/>
        </w:rPr>
        <w:t>experience in the workplace</w:t>
      </w:r>
      <w:r w:rsidRPr="2EFD3473">
        <w:rPr>
          <w:rStyle w:val="Strong"/>
          <w:rFonts w:ascii="VIC" w:hAnsi="VIC"/>
        </w:rPr>
        <w:t xml:space="preserve">. </w:t>
      </w:r>
    </w:p>
    <w:p w14:paraId="369A3A75" w14:textId="208D97FA" w:rsidR="006D3232" w:rsidRPr="009627B0" w:rsidRDefault="006D3232" w:rsidP="006D3232">
      <w:pPr>
        <w:pStyle w:val="TO3"/>
        <w:rPr>
          <w:rStyle w:val="Strong"/>
          <w:rFonts w:ascii="VIC" w:hAnsi="VIC"/>
        </w:rPr>
      </w:pPr>
      <w:r w:rsidRPr="2EFD3473">
        <w:rPr>
          <w:rStyle w:val="Strong"/>
          <w:rFonts w:ascii="VIC" w:hAnsi="VIC"/>
        </w:rPr>
        <w:t xml:space="preserve">Public sector organisations use the survey to find out what they’re doing well and where they need to focus on </w:t>
      </w:r>
      <w:r w:rsidR="2929980F" w:rsidRPr="2EFD3473">
        <w:rPr>
          <w:rStyle w:val="Strong"/>
          <w:rFonts w:ascii="VIC" w:hAnsi="VIC"/>
        </w:rPr>
        <w:t xml:space="preserve">making </w:t>
      </w:r>
      <w:r w:rsidRPr="2EFD3473">
        <w:rPr>
          <w:rStyle w:val="Strong"/>
          <w:rFonts w:ascii="VIC" w:hAnsi="VIC"/>
        </w:rPr>
        <w:t xml:space="preserve">improvements.   </w:t>
      </w:r>
    </w:p>
    <w:p w14:paraId="55C15B9B" w14:textId="4201FBD1" w:rsidR="006D3232" w:rsidRPr="009627B0" w:rsidRDefault="006D3232" w:rsidP="006D3232">
      <w:pPr>
        <w:pStyle w:val="TO3"/>
        <w:rPr>
          <w:rStyle w:val="Strong"/>
          <w:rFonts w:ascii="VIC" w:hAnsi="VIC"/>
        </w:rPr>
      </w:pPr>
      <w:r w:rsidRPr="2EFD3473">
        <w:rPr>
          <w:rStyle w:val="Strong"/>
          <w:rFonts w:ascii="VIC" w:hAnsi="VIC"/>
        </w:rPr>
        <w:t xml:space="preserve">Use this guide to help your organisation get the most out of the </w:t>
      </w:r>
      <w:bookmarkStart w:id="10" w:name="_Toc49856753"/>
      <w:bookmarkStart w:id="11" w:name="_Toc50534253"/>
      <w:bookmarkEnd w:id="4"/>
      <w:bookmarkEnd w:id="5"/>
      <w:r w:rsidR="00E47E63">
        <w:rPr>
          <w:rStyle w:val="Strong"/>
          <w:rFonts w:ascii="VIC" w:hAnsi="VIC"/>
        </w:rPr>
        <w:t>survey</w:t>
      </w:r>
      <w:r w:rsidR="78B18B68" w:rsidRPr="2EFD3473">
        <w:rPr>
          <w:rStyle w:val="Strong"/>
          <w:rFonts w:ascii="VIC" w:hAnsi="VIC"/>
        </w:rPr>
        <w:t xml:space="preserve">. </w:t>
      </w:r>
    </w:p>
    <w:p w14:paraId="75E4344E" w14:textId="77777777" w:rsidR="006D3232" w:rsidRPr="009627B0" w:rsidRDefault="006D3232" w:rsidP="006D3232">
      <w:pPr>
        <w:pStyle w:val="BranchTitle"/>
      </w:pPr>
      <w:bookmarkStart w:id="12" w:name="_Toc70589070"/>
      <w:r w:rsidRPr="009627B0">
        <w:t>Who this guide is for</w:t>
      </w:r>
      <w:bookmarkEnd w:id="10"/>
      <w:bookmarkEnd w:id="11"/>
      <w:bookmarkEnd w:id="12"/>
      <w:r w:rsidRPr="009627B0">
        <w:t xml:space="preserve"> </w:t>
      </w:r>
    </w:p>
    <w:p w14:paraId="4EB77CDC" w14:textId="7B64B8AA" w:rsidR="006D3232" w:rsidRPr="009627B0" w:rsidRDefault="006D3232" w:rsidP="006D3232">
      <w:pPr>
        <w:pStyle w:val="Body"/>
      </w:pPr>
      <w:r>
        <w:t xml:space="preserve">This guide is designed for survey coordinators in </w:t>
      </w:r>
      <w:r w:rsidR="00640813">
        <w:t>organisations</w:t>
      </w:r>
      <w:r>
        <w:t xml:space="preserve"> participating in the </w:t>
      </w:r>
      <w:r w:rsidR="00E47E63">
        <w:t>survey</w:t>
      </w:r>
      <w:r w:rsidR="78B18B68">
        <w:t xml:space="preserve">. </w:t>
      </w:r>
    </w:p>
    <w:p w14:paraId="703DECBE" w14:textId="77777777" w:rsidR="006D3232" w:rsidRPr="009627B0" w:rsidRDefault="006D3232" w:rsidP="006D3232">
      <w:pPr>
        <w:pStyle w:val="Body"/>
      </w:pPr>
      <w:r w:rsidRPr="009627B0">
        <w:t xml:space="preserve">The resources and tips we’ve provided can be personalised to suit your organisation. </w:t>
      </w:r>
    </w:p>
    <w:p w14:paraId="37D9A286" w14:textId="6AD0BFF8" w:rsidR="00FE4409" w:rsidRDefault="006D3232" w:rsidP="00ED1AAA">
      <w:pPr>
        <w:pStyle w:val="BranchTitle"/>
      </w:pPr>
      <w:bookmarkStart w:id="13" w:name="_Toc49856754"/>
      <w:bookmarkStart w:id="14" w:name="_Toc50534254"/>
      <w:bookmarkStart w:id="15" w:name="_Toc70589071"/>
      <w:r w:rsidRPr="009627B0">
        <w:t>Why promotion is important</w:t>
      </w:r>
      <w:bookmarkEnd w:id="13"/>
      <w:bookmarkEnd w:id="14"/>
      <w:bookmarkEnd w:id="15"/>
      <w:r w:rsidR="00ED1AAA">
        <w:br/>
      </w:r>
      <w:r w:rsidRPr="00ED1AAA">
        <w:rPr>
          <w:rStyle w:val="BodyChar"/>
          <w:rFonts w:asciiTheme="minorHAnsi" w:hAnsiTheme="minorHAnsi"/>
        </w:rPr>
        <w:t xml:space="preserve">Promoting the survey tells employees that their voice matters and that your organisation is committed to </w:t>
      </w:r>
      <w:r w:rsidR="00181BD7" w:rsidRPr="00ED1AAA">
        <w:rPr>
          <w:rStyle w:val="BodyChar"/>
          <w:rFonts w:asciiTheme="minorHAnsi" w:hAnsiTheme="minorHAnsi"/>
        </w:rPr>
        <w:t xml:space="preserve">improving </w:t>
      </w:r>
      <w:r w:rsidR="00F06071" w:rsidRPr="00ED1AAA">
        <w:rPr>
          <w:rStyle w:val="BodyChar"/>
          <w:rFonts w:asciiTheme="minorHAnsi" w:hAnsiTheme="minorHAnsi"/>
        </w:rPr>
        <w:t xml:space="preserve">gender equality in your </w:t>
      </w:r>
      <w:r w:rsidRPr="00ED1AAA">
        <w:rPr>
          <w:rStyle w:val="BodyChar"/>
          <w:rFonts w:asciiTheme="minorHAnsi" w:hAnsiTheme="minorHAnsi"/>
        </w:rPr>
        <w:t>workplace</w:t>
      </w:r>
      <w:r w:rsidR="00181BD7" w:rsidRPr="00ED1AAA">
        <w:rPr>
          <w:rStyle w:val="BodyChar"/>
          <w:rFonts w:asciiTheme="minorHAnsi" w:hAnsiTheme="minorHAnsi"/>
        </w:rPr>
        <w:t>.</w:t>
      </w:r>
      <w:r w:rsidR="00181BD7">
        <w:t xml:space="preserve"> </w:t>
      </w:r>
    </w:p>
    <w:p w14:paraId="542948E9" w14:textId="07D76081" w:rsidR="0058709C" w:rsidRPr="00FE4409" w:rsidRDefault="006D3232" w:rsidP="00ED1AAA">
      <w:pPr>
        <w:pStyle w:val="BranchTitle"/>
        <w:rPr>
          <w:rFonts w:asciiTheme="minorHAnsi" w:hAnsiTheme="minorHAnsi"/>
        </w:rPr>
      </w:pPr>
      <w:r w:rsidRPr="00FE4409">
        <w:rPr>
          <w:rFonts w:asciiTheme="minorHAnsi" w:hAnsiTheme="minorHAnsi"/>
        </w:rPr>
        <w:t xml:space="preserve">It fosters strong engagement, as it encourages your employees to participate, giving you richer data and insights </w:t>
      </w:r>
      <w:r w:rsidR="00ED1AAA" w:rsidRPr="00FE4409">
        <w:rPr>
          <w:rFonts w:asciiTheme="minorHAnsi" w:hAnsiTheme="minorHAnsi"/>
        </w:rPr>
        <w:t xml:space="preserve">that </w:t>
      </w:r>
      <w:r w:rsidR="0058709C" w:rsidRPr="00FE4409">
        <w:rPr>
          <w:rFonts w:asciiTheme="minorHAnsi" w:hAnsiTheme="minorHAnsi"/>
        </w:rPr>
        <w:t xml:space="preserve">reveal how employees view different aspects of their workplace experience of gender equality, diversity and inclusion. </w:t>
      </w:r>
    </w:p>
    <w:p w14:paraId="1324E57B" w14:textId="3702C6BE" w:rsidR="006D3232" w:rsidRPr="009627B0" w:rsidRDefault="006D3232" w:rsidP="006D3232">
      <w:pPr>
        <w:pStyle w:val="Body"/>
      </w:pPr>
      <w:r>
        <w:lastRenderedPageBreak/>
        <w:t xml:space="preserve">Along with this guide, there are </w:t>
      </w:r>
      <w:r w:rsidR="00F01ED0">
        <w:t xml:space="preserve">other </w:t>
      </w:r>
      <w:r w:rsidR="69248077" w:rsidRPr="47E3249A">
        <w:t>resources</w:t>
      </w:r>
      <w:r w:rsidR="00A57661">
        <w:t xml:space="preserve"> available for download from the website of the Commission for Gender Equality in the Public Sector.</w:t>
      </w:r>
    </w:p>
    <w:p w14:paraId="09845C3B" w14:textId="77777777" w:rsidR="006D3232" w:rsidRPr="009627B0" w:rsidRDefault="006D3232" w:rsidP="006D3232">
      <w:pPr>
        <w:pStyle w:val="Body"/>
      </w:pPr>
      <w:r w:rsidRPr="009627B0">
        <w:rPr>
          <w:b/>
          <w:bCs/>
        </w:rPr>
        <w:t xml:space="preserve">Resources include: </w:t>
      </w:r>
      <w:r w:rsidRPr="009627B0">
        <w:t xml:space="preserve"> </w:t>
      </w:r>
    </w:p>
    <w:p w14:paraId="77FE29D5" w14:textId="77777777" w:rsidR="006D3232" w:rsidRPr="009627B0" w:rsidRDefault="006D3232" w:rsidP="006D3232">
      <w:pPr>
        <w:pStyle w:val="Body"/>
        <w:numPr>
          <w:ilvl w:val="0"/>
          <w:numId w:val="6"/>
        </w:numPr>
      </w:pPr>
      <w:r w:rsidRPr="009627B0">
        <w:t>FAQs</w:t>
      </w:r>
    </w:p>
    <w:p w14:paraId="6C97CBEF" w14:textId="77777777" w:rsidR="006D3232" w:rsidRPr="009627B0" w:rsidRDefault="006D3232" w:rsidP="006D3232">
      <w:pPr>
        <w:pStyle w:val="Body"/>
        <w:numPr>
          <w:ilvl w:val="0"/>
          <w:numId w:val="6"/>
        </w:numPr>
      </w:pPr>
      <w:r w:rsidRPr="009627B0">
        <w:t>key messages</w:t>
      </w:r>
    </w:p>
    <w:p w14:paraId="16777DE6" w14:textId="77777777" w:rsidR="006D3232" w:rsidRPr="009627B0" w:rsidRDefault="006D3232" w:rsidP="006D3232">
      <w:pPr>
        <w:pStyle w:val="Body"/>
        <w:numPr>
          <w:ilvl w:val="0"/>
          <w:numId w:val="6"/>
        </w:numPr>
      </w:pPr>
      <w:r w:rsidRPr="009627B0">
        <w:t>speaking notes</w:t>
      </w:r>
    </w:p>
    <w:p w14:paraId="01258D97" w14:textId="77777777" w:rsidR="006D3232" w:rsidRPr="009627B0" w:rsidRDefault="006D3232" w:rsidP="006D3232">
      <w:pPr>
        <w:pStyle w:val="Body"/>
        <w:numPr>
          <w:ilvl w:val="0"/>
          <w:numId w:val="6"/>
        </w:numPr>
      </w:pPr>
      <w:r w:rsidRPr="009627B0">
        <w:t>sample news article</w:t>
      </w:r>
    </w:p>
    <w:p w14:paraId="08F01C90" w14:textId="77777777" w:rsidR="006D3232" w:rsidRPr="009627B0" w:rsidRDefault="006D3232" w:rsidP="006D3232">
      <w:pPr>
        <w:pStyle w:val="Body"/>
        <w:numPr>
          <w:ilvl w:val="0"/>
          <w:numId w:val="6"/>
        </w:numPr>
      </w:pPr>
      <w:r w:rsidRPr="009627B0">
        <w:t>workstation splash screens</w:t>
      </w:r>
    </w:p>
    <w:p w14:paraId="3B4243A5" w14:textId="77777777" w:rsidR="006D3232" w:rsidRPr="009627B0" w:rsidRDefault="006D3232" w:rsidP="006D3232">
      <w:pPr>
        <w:pStyle w:val="Body"/>
        <w:numPr>
          <w:ilvl w:val="0"/>
          <w:numId w:val="6"/>
        </w:numPr>
      </w:pPr>
      <w:r w:rsidRPr="009627B0">
        <w:t>email signature banners</w:t>
      </w:r>
    </w:p>
    <w:p w14:paraId="7829E4C8" w14:textId="181707F2" w:rsidR="006D3232" w:rsidRPr="009627B0" w:rsidRDefault="006D3232" w:rsidP="006D3232">
      <w:pPr>
        <w:pStyle w:val="Body"/>
        <w:numPr>
          <w:ilvl w:val="0"/>
          <w:numId w:val="6"/>
        </w:numPr>
      </w:pPr>
      <w:r w:rsidRPr="009627B0">
        <w:t>promotional images</w:t>
      </w:r>
      <w:r w:rsidR="680A8458">
        <w:t>.</w:t>
      </w:r>
    </w:p>
    <w:p w14:paraId="7A3AD6AC" w14:textId="13A73CEB" w:rsidR="006D3232" w:rsidRPr="009627B0" w:rsidRDefault="5FA165CE" w:rsidP="006D3232">
      <w:pPr>
        <w:pStyle w:val="Heading1"/>
        <w:rPr>
          <w:color w:val="auto"/>
        </w:rPr>
      </w:pPr>
      <w:r w:rsidRPr="47E3249A">
        <w:rPr>
          <w:color w:val="auto"/>
        </w:rPr>
        <w:t>Tips to encourage participation</w:t>
      </w:r>
    </w:p>
    <w:p w14:paraId="3E4A74CD" w14:textId="77777777" w:rsidR="006D3232" w:rsidRPr="009627B0" w:rsidRDefault="006D3232" w:rsidP="007B2ECC">
      <w:pPr>
        <w:pStyle w:val="TableBullet1"/>
        <w:numPr>
          <w:ilvl w:val="0"/>
          <w:numId w:val="0"/>
        </w:numPr>
        <w:spacing w:after="160" w:line="259" w:lineRule="auto"/>
      </w:pPr>
      <w:r w:rsidRPr="009627B0">
        <w:t xml:space="preserve">It’s important to keep the survey front of mind during the survey period. To help, we’ve put together a list of ideas that have worked for other organisations. </w:t>
      </w:r>
    </w:p>
    <w:p w14:paraId="496FC11A" w14:textId="77777777" w:rsidR="006D3232" w:rsidRPr="009627B0" w:rsidRDefault="006D3232" w:rsidP="007B2ECC">
      <w:pPr>
        <w:pStyle w:val="TableBullet1"/>
        <w:numPr>
          <w:ilvl w:val="0"/>
          <w:numId w:val="0"/>
        </w:numPr>
        <w:spacing w:after="160" w:line="259" w:lineRule="auto"/>
      </w:pPr>
      <w:r w:rsidRPr="009627B0">
        <w:t>Ways to encourage participation:</w:t>
      </w:r>
    </w:p>
    <w:p w14:paraId="5F4FDA1C" w14:textId="77777777" w:rsidR="006D3232" w:rsidRPr="00BC7A91" w:rsidRDefault="006D3232" w:rsidP="006D3232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</w:pPr>
      <w:r w:rsidRPr="00BC7A91">
        <w:t xml:space="preserve">Schedule a time to do the survey as a team or business area. </w:t>
      </w:r>
    </w:p>
    <w:p w14:paraId="156F51F2" w14:textId="77777777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</w:pPr>
      <w:r w:rsidRPr="009627B0">
        <w:t>Organise an information session to answer survey queries</w:t>
      </w:r>
      <w:r w:rsidRPr="009627B0" w:rsidDel="009C03D5">
        <w:t>.</w:t>
      </w:r>
    </w:p>
    <w:p w14:paraId="6AA7685C" w14:textId="77777777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  <w:rPr>
          <w:rFonts w:cs="VIC"/>
        </w:rPr>
      </w:pPr>
      <w:r w:rsidRPr="009627B0">
        <w:t xml:space="preserve">Share outcomes from previous surveys. </w:t>
      </w:r>
    </w:p>
    <w:p w14:paraId="335B7B26" w14:textId="77777777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  <w:rPr>
          <w:rFonts w:cs="VIC"/>
        </w:rPr>
      </w:pPr>
      <w:r w:rsidRPr="009627B0">
        <w:t xml:space="preserve">Ask a senior leader to launch the survey with an official email. </w:t>
      </w:r>
    </w:p>
    <w:p w14:paraId="57901F98" w14:textId="77777777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  <w:rPr>
          <w:rFonts w:cs="VIC"/>
        </w:rPr>
      </w:pPr>
      <w:r w:rsidRPr="009627B0">
        <w:t xml:space="preserve">Ask managers and senior leaders to encourage participation in team meetings and one-on-ones. </w:t>
      </w:r>
    </w:p>
    <w:p w14:paraId="4F18EC4D" w14:textId="77777777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</w:pPr>
      <w:r w:rsidRPr="009627B0">
        <w:t xml:space="preserve">Ask people to share stories of positive organisational change.  </w:t>
      </w:r>
    </w:p>
    <w:p w14:paraId="0A2E16E6" w14:textId="20FE4562" w:rsidR="006D3232" w:rsidRPr="009627B0" w:rsidRDefault="006D3232" w:rsidP="006D3232">
      <w:pPr>
        <w:numPr>
          <w:ilvl w:val="0"/>
          <w:numId w:val="2"/>
        </w:numPr>
        <w:rPr>
          <w:rFonts w:cs="VIC"/>
        </w:rPr>
      </w:pPr>
      <w:r w:rsidRPr="009627B0">
        <w:t xml:space="preserve">Identify survey champions at all levels in your organisation to help promote your survey. </w:t>
      </w:r>
    </w:p>
    <w:p w14:paraId="6AFCDE32" w14:textId="77777777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</w:pPr>
      <w:r w:rsidRPr="009627B0">
        <w:t xml:space="preserve">Promote the survey on your intranet and internal e-newsletter using key messages and images from the resources we’ve provided. </w:t>
      </w:r>
    </w:p>
    <w:p w14:paraId="4C04DAAD" w14:textId="77777777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</w:pPr>
      <w:r>
        <w:t xml:space="preserve">Send reminder emails. </w:t>
      </w:r>
    </w:p>
    <w:p w14:paraId="7145EE92" w14:textId="5FE0FF4C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</w:pPr>
      <w:r>
        <w:t xml:space="preserve">Use the virtual splash screens and email signature banners provided, selecting the images that best represent your organisation. </w:t>
      </w:r>
    </w:p>
    <w:p w14:paraId="29ECBADA" w14:textId="77777777" w:rsidR="00537D7C" w:rsidRDefault="00537D7C" w:rsidP="00D20102">
      <w:pPr>
        <w:pStyle w:val="TableBullet1"/>
        <w:keepNext w:val="0"/>
        <w:keepLines w:val="0"/>
        <w:numPr>
          <w:ilvl w:val="0"/>
          <w:numId w:val="0"/>
        </w:numPr>
        <w:spacing w:before="0" w:after="160" w:line="259" w:lineRule="auto"/>
        <w:ind w:left="357" w:hanging="357"/>
        <w:rPr>
          <w:b/>
          <w:bCs/>
        </w:rPr>
      </w:pPr>
    </w:p>
    <w:p w14:paraId="7A440635" w14:textId="4845697D" w:rsidR="00D20102" w:rsidRPr="006C4C24" w:rsidRDefault="00D20102" w:rsidP="00D20102">
      <w:pPr>
        <w:pStyle w:val="TableBullet1"/>
        <w:keepNext w:val="0"/>
        <w:keepLines w:val="0"/>
        <w:numPr>
          <w:ilvl w:val="0"/>
          <w:numId w:val="0"/>
        </w:numPr>
        <w:spacing w:before="0" w:after="160" w:line="259" w:lineRule="auto"/>
        <w:ind w:left="357" w:hanging="357"/>
        <w:rPr>
          <w:b/>
          <w:bCs/>
        </w:rPr>
      </w:pPr>
      <w:r w:rsidRPr="006C4C24">
        <w:rPr>
          <w:b/>
          <w:bCs/>
        </w:rPr>
        <w:lastRenderedPageBreak/>
        <w:t xml:space="preserve">Encouraging </w:t>
      </w:r>
      <w:r w:rsidR="006C4C24" w:rsidRPr="006C4C24">
        <w:rPr>
          <w:b/>
          <w:bCs/>
        </w:rPr>
        <w:t>participation for non-desk-based staff</w:t>
      </w:r>
    </w:p>
    <w:p w14:paraId="2D40C72D" w14:textId="4440CF4C" w:rsidR="00301185" w:rsidRDefault="00301185" w:rsidP="00301185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</w:pPr>
      <w:r>
        <w:t xml:space="preserve">Display the provided </w:t>
      </w:r>
      <w:r w:rsidR="00BB3516">
        <w:t xml:space="preserve">People matter survey for </w:t>
      </w:r>
      <w:r w:rsidR="00537D7C">
        <w:t>gender equality reporting</w:t>
      </w:r>
      <w:r w:rsidR="00BB3516">
        <w:t xml:space="preserve"> </w:t>
      </w:r>
      <w:r>
        <w:t>posters in walkways, elevators, bathrooms, and other communal areas.</w:t>
      </w:r>
    </w:p>
    <w:p w14:paraId="653A7EF7" w14:textId="19A57ADF" w:rsidR="00CE12F8" w:rsidRDefault="00CE12F8" w:rsidP="00301185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</w:pPr>
      <w:r>
        <w:t>Generate a QR code for your survey link</w:t>
      </w:r>
      <w:r w:rsidR="001D112B">
        <w:t xml:space="preserve"> to display on provided posters</w:t>
      </w:r>
      <w:r w:rsidR="00600463">
        <w:t xml:space="preserve"> and remind people that the survey can be completed on a mobile phone.</w:t>
      </w:r>
    </w:p>
    <w:p w14:paraId="5E6D1A94" w14:textId="0C63868A" w:rsidR="001D112B" w:rsidRDefault="001D112B" w:rsidP="00301185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</w:pPr>
      <w:r>
        <w:t>Ensure managers and supervisors include time in shifts to complete the survey</w:t>
      </w:r>
      <w:r w:rsidR="00600463">
        <w:t>.</w:t>
      </w:r>
    </w:p>
    <w:p w14:paraId="7972A33C" w14:textId="53C406A1" w:rsidR="006B7355" w:rsidRPr="009627B0" w:rsidRDefault="00536DC2" w:rsidP="008B39FA">
      <w:pPr>
        <w:pStyle w:val="TableBullet1"/>
        <w:keepNext w:val="0"/>
        <w:keepLines w:val="0"/>
        <w:numPr>
          <w:ilvl w:val="0"/>
          <w:numId w:val="2"/>
        </w:numPr>
        <w:spacing w:before="0" w:after="160" w:line="259" w:lineRule="auto"/>
      </w:pPr>
      <w:r>
        <w:t xml:space="preserve">Set up </w:t>
      </w:r>
      <w:r w:rsidR="008861E5">
        <w:t xml:space="preserve">a </w:t>
      </w:r>
      <w:r>
        <w:t xml:space="preserve">dedicated workstation(s) </w:t>
      </w:r>
      <w:r w:rsidR="008B39FA">
        <w:t>so staff can complete the survey at a computer.</w:t>
      </w:r>
    </w:p>
    <w:p w14:paraId="16313B7B" w14:textId="40CD89BD" w:rsidR="006D3232" w:rsidRPr="009627B0" w:rsidRDefault="006D3232" w:rsidP="006D3232">
      <w:pPr>
        <w:pStyle w:val="Heading1"/>
        <w:rPr>
          <w:color w:val="auto"/>
        </w:rPr>
      </w:pPr>
      <w:bookmarkStart w:id="16" w:name="_Toc70589073"/>
      <w:r w:rsidRPr="009627B0">
        <w:rPr>
          <w:color w:val="auto"/>
        </w:rPr>
        <w:t>Survey promotion timeline</w:t>
      </w:r>
      <w:bookmarkEnd w:id="16"/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1"/>
        <w:gridCol w:w="6235"/>
      </w:tblGrid>
      <w:tr w:rsidR="009627B0" w:rsidRPr="009627B0" w14:paraId="5EBB88BB" w14:textId="77777777" w:rsidTr="2EFD3473">
        <w:trPr>
          <w:tblHeader/>
        </w:trPr>
        <w:tc>
          <w:tcPr>
            <w:tcW w:w="2791" w:type="dxa"/>
            <w:tcBorders>
              <w:top w:val="nil"/>
              <w:left w:val="nil"/>
              <w:bottom w:val="single" w:sz="18" w:space="0" w:color="00573F" w:themeColor="text2"/>
              <w:right w:val="nil"/>
            </w:tcBorders>
            <w:tcMar>
              <w:top w:w="170" w:type="dxa"/>
              <w:left w:w="113" w:type="dxa"/>
              <w:bottom w:w="170" w:type="dxa"/>
              <w:right w:w="227" w:type="dxa"/>
            </w:tcMar>
            <w:hideMark/>
          </w:tcPr>
          <w:p w14:paraId="79C3AA1B" w14:textId="77777777" w:rsidR="006D3232" w:rsidRPr="009627B0" w:rsidRDefault="006D3232" w:rsidP="00F93B96">
            <w:pPr>
              <w:pStyle w:val="TableChartHeading"/>
              <w:spacing w:line="240" w:lineRule="auto"/>
              <w:rPr>
                <w:rFonts w:ascii="VIC SemiBold" w:eastAsia="VIC" w:hAnsi="VIC SemiBold"/>
                <w:b w:val="0"/>
                <w:bCs/>
              </w:rPr>
            </w:pPr>
            <w:r w:rsidRPr="009627B0">
              <w:rPr>
                <w:rFonts w:ascii="VIC SemiBold" w:hAnsi="VIC SemiBold"/>
                <w:b w:val="0"/>
                <w:bCs/>
              </w:rPr>
              <w:t>When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18" w:space="0" w:color="00573F" w:themeColor="text2"/>
              <w:right w:val="nil"/>
            </w:tcBorders>
            <w:tcMar>
              <w:top w:w="170" w:type="dxa"/>
              <w:left w:w="113" w:type="dxa"/>
              <w:bottom w:w="170" w:type="dxa"/>
              <w:right w:w="227" w:type="dxa"/>
            </w:tcMar>
            <w:hideMark/>
          </w:tcPr>
          <w:p w14:paraId="6261D880" w14:textId="77777777" w:rsidR="006D3232" w:rsidRPr="009627B0" w:rsidRDefault="006D3232" w:rsidP="00F93B96">
            <w:pPr>
              <w:pStyle w:val="TableChartHeading"/>
              <w:spacing w:line="240" w:lineRule="auto"/>
              <w:rPr>
                <w:rFonts w:ascii="VIC SemiBold" w:hAnsi="VIC SemiBold"/>
                <w:b w:val="0"/>
                <w:bCs/>
              </w:rPr>
            </w:pPr>
            <w:r w:rsidRPr="009627B0">
              <w:rPr>
                <w:rFonts w:ascii="VIC SemiBold" w:hAnsi="VIC SemiBold"/>
                <w:b w:val="0"/>
                <w:bCs/>
              </w:rPr>
              <w:t>What</w:t>
            </w:r>
          </w:p>
        </w:tc>
      </w:tr>
      <w:tr w:rsidR="009627B0" w:rsidRPr="009627B0" w14:paraId="08923A27" w14:textId="77777777" w:rsidTr="2EFD3473">
        <w:tc>
          <w:tcPr>
            <w:tcW w:w="2791" w:type="dxa"/>
            <w:tcBorders>
              <w:top w:val="single" w:sz="6" w:space="0" w:color="00573F" w:themeColor="text2"/>
              <w:left w:val="nil"/>
              <w:bottom w:val="single" w:sz="6" w:space="0" w:color="00573F" w:themeColor="text2"/>
              <w:right w:val="single" w:sz="6" w:space="0" w:color="00573F" w:themeColor="text2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5B8E9ED2" w14:textId="77777777" w:rsidR="006D3232" w:rsidRPr="009627B0" w:rsidRDefault="006D3232" w:rsidP="00F93B96">
            <w:pPr>
              <w:pStyle w:val="TableChartBody"/>
              <w:spacing w:line="264" w:lineRule="auto"/>
              <w:rPr>
                <w:rFonts w:ascii="VIC" w:hAnsi="VIC"/>
              </w:rPr>
            </w:pPr>
            <w:r w:rsidRPr="009627B0">
              <w:rPr>
                <w:rFonts w:ascii="VIC" w:hAnsi="VIC"/>
              </w:rPr>
              <w:t>3 weeks out</w:t>
            </w:r>
          </w:p>
        </w:tc>
        <w:tc>
          <w:tcPr>
            <w:tcW w:w="6235" w:type="dxa"/>
            <w:tcBorders>
              <w:top w:val="single" w:sz="6" w:space="0" w:color="00573F" w:themeColor="text2"/>
              <w:left w:val="single" w:sz="6" w:space="0" w:color="00573F" w:themeColor="text2"/>
              <w:bottom w:val="single" w:sz="6" w:space="0" w:color="00573F" w:themeColor="text2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035B812F" w14:textId="77777777" w:rsidR="00901098" w:rsidRPr="009627B0" w:rsidRDefault="00901098" w:rsidP="00901098">
            <w:pPr>
              <w:pStyle w:val="TableChartBody"/>
              <w:spacing w:line="264" w:lineRule="auto"/>
              <w:rPr>
                <w:rFonts w:ascii="VIC" w:hAnsi="VIC"/>
                <w:b/>
                <w:bCs/>
              </w:rPr>
            </w:pPr>
            <w:r w:rsidRPr="009627B0">
              <w:rPr>
                <w:rFonts w:ascii="VIC" w:hAnsi="VIC"/>
                <w:b/>
                <w:bCs/>
              </w:rPr>
              <w:t>Plan your campaign</w:t>
            </w:r>
          </w:p>
          <w:p w14:paraId="6877A7D7" w14:textId="77777777" w:rsidR="00901098" w:rsidRPr="009627B0" w:rsidRDefault="00901098" w:rsidP="00901098">
            <w:pPr>
              <w:pStyle w:val="TableChartBody"/>
              <w:numPr>
                <w:ilvl w:val="0"/>
                <w:numId w:val="7"/>
              </w:numPr>
              <w:spacing w:line="264" w:lineRule="auto"/>
              <w:rPr>
                <w:rFonts w:ascii="VIC" w:hAnsi="VIC"/>
              </w:rPr>
            </w:pPr>
            <w:r w:rsidRPr="009627B0">
              <w:rPr>
                <w:rFonts w:ascii="VIC" w:hAnsi="VIC"/>
              </w:rPr>
              <w:t>Identify your target audience and draft key messages</w:t>
            </w:r>
          </w:p>
          <w:p w14:paraId="12C38B60" w14:textId="77777777" w:rsidR="00901098" w:rsidRDefault="00901098" w:rsidP="00901098">
            <w:pPr>
              <w:pStyle w:val="TableChartBody"/>
              <w:numPr>
                <w:ilvl w:val="0"/>
                <w:numId w:val="7"/>
              </w:numPr>
              <w:spacing w:line="264" w:lineRule="auto"/>
              <w:rPr>
                <w:rFonts w:ascii="VIC" w:hAnsi="VIC"/>
              </w:rPr>
            </w:pPr>
            <w:r w:rsidRPr="009627B0">
              <w:rPr>
                <w:rFonts w:ascii="VIC" w:hAnsi="VIC"/>
              </w:rPr>
              <w:t>Brainstorm ideas to promote participation</w:t>
            </w:r>
          </w:p>
          <w:p w14:paraId="737CECA1" w14:textId="36270A51" w:rsidR="00901098" w:rsidRPr="00901098" w:rsidRDefault="00901098" w:rsidP="00901098">
            <w:pPr>
              <w:pStyle w:val="TableChartBody"/>
              <w:numPr>
                <w:ilvl w:val="0"/>
                <w:numId w:val="7"/>
              </w:numPr>
              <w:spacing w:line="264" w:lineRule="auto"/>
              <w:rPr>
                <w:rFonts w:ascii="VIC" w:hAnsi="VIC"/>
              </w:rPr>
            </w:pPr>
            <w:r w:rsidRPr="009627B0">
              <w:t>Create a campaign plan and schedule</w:t>
            </w:r>
            <w:r w:rsidRPr="00901098">
              <w:rPr>
                <w:b/>
                <w:bCs/>
              </w:rPr>
              <w:t xml:space="preserve"> </w:t>
            </w:r>
          </w:p>
          <w:p w14:paraId="72318C99" w14:textId="77777777" w:rsidR="00901098" w:rsidRDefault="00901098" w:rsidP="00901098">
            <w:pPr>
              <w:pStyle w:val="TableBullet1"/>
              <w:numPr>
                <w:ilvl w:val="0"/>
                <w:numId w:val="0"/>
              </w:numPr>
              <w:spacing w:before="0" w:after="0" w:line="264" w:lineRule="auto"/>
              <w:ind w:left="284" w:hanging="284"/>
              <w:rPr>
                <w:b/>
                <w:bCs/>
              </w:rPr>
            </w:pPr>
          </w:p>
          <w:p w14:paraId="096FBCB4" w14:textId="1A8EC53E" w:rsidR="006D3232" w:rsidRPr="009627B0" w:rsidRDefault="006D3232" w:rsidP="00901098">
            <w:pPr>
              <w:pStyle w:val="TableBullet1"/>
              <w:numPr>
                <w:ilvl w:val="0"/>
                <w:numId w:val="0"/>
              </w:numPr>
              <w:spacing w:before="0" w:after="0" w:line="264" w:lineRule="auto"/>
              <w:ind w:left="284" w:hanging="284"/>
              <w:rPr>
                <w:b/>
                <w:bCs/>
              </w:rPr>
            </w:pPr>
            <w:r w:rsidRPr="009627B0">
              <w:rPr>
                <w:b/>
                <w:bCs/>
              </w:rPr>
              <w:t>Share with senior leaders and managers</w:t>
            </w:r>
          </w:p>
          <w:p w14:paraId="1EA6F3C6" w14:textId="77777777" w:rsidR="006D3232" w:rsidRPr="009627B0" w:rsidRDefault="006D3232" w:rsidP="006D3232">
            <w:pPr>
              <w:pStyle w:val="TableBullet1"/>
              <w:keepNext w:val="0"/>
              <w:keepLines w:val="0"/>
              <w:numPr>
                <w:ilvl w:val="0"/>
                <w:numId w:val="8"/>
              </w:numPr>
              <w:spacing w:before="0" w:after="0" w:line="264" w:lineRule="auto"/>
            </w:pPr>
            <w:r w:rsidRPr="009627B0">
              <w:t>Share your campaign plan with senior leaders and managers</w:t>
            </w:r>
          </w:p>
          <w:p w14:paraId="05E2B71E" w14:textId="77777777" w:rsidR="006D3232" w:rsidRPr="009627B0" w:rsidRDefault="006D3232" w:rsidP="006D3232">
            <w:pPr>
              <w:pStyle w:val="TableBullet1"/>
              <w:keepNext w:val="0"/>
              <w:keepLines w:val="0"/>
              <w:numPr>
                <w:ilvl w:val="0"/>
                <w:numId w:val="8"/>
              </w:numPr>
              <w:spacing w:before="0" w:after="0" w:line="264" w:lineRule="auto"/>
            </w:pPr>
            <w:r w:rsidRPr="009627B0">
              <w:t xml:space="preserve">Draft promotional materials for senior leaders </w:t>
            </w:r>
          </w:p>
          <w:p w14:paraId="6597B89D" w14:textId="77777777" w:rsidR="006D3232" w:rsidRPr="009627B0" w:rsidRDefault="006D3232" w:rsidP="006D3232">
            <w:pPr>
              <w:pStyle w:val="TableBullet1"/>
              <w:keepNext w:val="0"/>
              <w:keepLines w:val="0"/>
              <w:numPr>
                <w:ilvl w:val="0"/>
                <w:numId w:val="8"/>
              </w:numPr>
              <w:spacing w:before="0" w:after="0" w:line="264" w:lineRule="auto"/>
            </w:pPr>
            <w:r w:rsidRPr="009627B0">
              <w:t>Supply messaging for managers</w:t>
            </w:r>
          </w:p>
        </w:tc>
      </w:tr>
      <w:tr w:rsidR="009627B0" w:rsidRPr="009627B0" w14:paraId="62166192" w14:textId="77777777" w:rsidTr="2EFD3473">
        <w:tc>
          <w:tcPr>
            <w:tcW w:w="2791" w:type="dxa"/>
            <w:tcBorders>
              <w:top w:val="single" w:sz="6" w:space="0" w:color="00573F" w:themeColor="text2"/>
              <w:left w:val="nil"/>
              <w:bottom w:val="single" w:sz="6" w:space="0" w:color="00573F" w:themeColor="text2"/>
              <w:right w:val="single" w:sz="6" w:space="0" w:color="00573F" w:themeColor="text2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6CCD98D9" w14:textId="77777777" w:rsidR="006D3232" w:rsidRPr="009627B0" w:rsidRDefault="006D3232" w:rsidP="00F93B96">
            <w:pPr>
              <w:pStyle w:val="TableChartBody"/>
              <w:spacing w:line="264" w:lineRule="auto"/>
              <w:rPr>
                <w:rFonts w:ascii="VIC" w:hAnsi="VIC"/>
              </w:rPr>
            </w:pPr>
            <w:r w:rsidRPr="009627B0">
              <w:rPr>
                <w:rFonts w:ascii="VIC" w:hAnsi="VIC"/>
              </w:rPr>
              <w:t>2 weeks out</w:t>
            </w:r>
          </w:p>
        </w:tc>
        <w:tc>
          <w:tcPr>
            <w:tcW w:w="6235" w:type="dxa"/>
            <w:tcBorders>
              <w:top w:val="single" w:sz="6" w:space="0" w:color="00573F" w:themeColor="text2"/>
              <w:left w:val="single" w:sz="6" w:space="0" w:color="00573F" w:themeColor="text2"/>
              <w:bottom w:val="single" w:sz="6" w:space="0" w:color="00573F" w:themeColor="text2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266D9CE4" w14:textId="77777777" w:rsidR="006D3232" w:rsidRPr="009627B0" w:rsidRDefault="006D3232" w:rsidP="00F93B96">
            <w:pPr>
              <w:pStyle w:val="TableChartBody"/>
              <w:spacing w:line="264" w:lineRule="auto"/>
              <w:rPr>
                <w:rFonts w:ascii="VIC" w:hAnsi="VIC" w:cs="VIC"/>
                <w:b/>
                <w:bCs/>
                <w:lang w:eastAsia="en-AU"/>
              </w:rPr>
            </w:pPr>
            <w:r w:rsidRPr="009627B0">
              <w:rPr>
                <w:rFonts w:ascii="VIC" w:hAnsi="VIC" w:cs="VIC"/>
                <w:b/>
                <w:bCs/>
                <w:lang w:eastAsia="en-AU"/>
              </w:rPr>
              <w:t>Build awareness</w:t>
            </w:r>
          </w:p>
          <w:p w14:paraId="5628AB92" w14:textId="4E54EEC3" w:rsidR="006D3232" w:rsidRPr="009627B0" w:rsidRDefault="006D3232" w:rsidP="006D3232">
            <w:pPr>
              <w:pStyle w:val="TableChartBody"/>
              <w:numPr>
                <w:ilvl w:val="0"/>
                <w:numId w:val="9"/>
              </w:numPr>
              <w:spacing w:line="264" w:lineRule="auto"/>
              <w:rPr>
                <w:rFonts w:ascii="VIC" w:hAnsi="VIC" w:cs="VIC"/>
                <w:lang w:eastAsia="en-AU"/>
              </w:rPr>
            </w:pPr>
            <w:r w:rsidRPr="009627B0">
              <w:rPr>
                <w:rFonts w:ascii="VIC" w:hAnsi="VIC" w:cs="VIC"/>
                <w:lang w:eastAsia="en-AU"/>
              </w:rPr>
              <w:t>Draft invitation emails and messages, articles</w:t>
            </w:r>
            <w:r w:rsidR="009E1A9C">
              <w:rPr>
                <w:rFonts w:ascii="VIC" w:hAnsi="VIC" w:cs="VIC"/>
                <w:lang w:eastAsia="en-AU"/>
              </w:rPr>
              <w:t>,</w:t>
            </w:r>
            <w:r w:rsidRPr="009627B0">
              <w:rPr>
                <w:rFonts w:ascii="VIC" w:hAnsi="VIC" w:cs="VIC"/>
                <w:lang w:eastAsia="en-AU"/>
              </w:rPr>
              <w:t xml:space="preserve"> etc</w:t>
            </w:r>
            <w:r w:rsidR="009E1A9C">
              <w:rPr>
                <w:rFonts w:ascii="VIC" w:hAnsi="VIC" w:cs="VIC"/>
                <w:lang w:eastAsia="en-AU"/>
              </w:rPr>
              <w:t>.</w:t>
            </w:r>
            <w:r w:rsidRPr="009627B0">
              <w:rPr>
                <w:rFonts w:ascii="VIC" w:hAnsi="VIC" w:cs="VIC"/>
                <w:lang w:eastAsia="en-AU"/>
              </w:rPr>
              <w:t>, so they’re ready to go</w:t>
            </w:r>
          </w:p>
          <w:p w14:paraId="714AEA96" w14:textId="77777777" w:rsidR="006D3232" w:rsidRPr="009627B0" w:rsidRDefault="006D3232" w:rsidP="006D3232">
            <w:pPr>
              <w:pStyle w:val="TableChartBody"/>
              <w:numPr>
                <w:ilvl w:val="0"/>
                <w:numId w:val="9"/>
              </w:numPr>
              <w:spacing w:line="264" w:lineRule="auto"/>
              <w:rPr>
                <w:rFonts w:ascii="VIC" w:hAnsi="VIC" w:cs="VIC"/>
                <w:lang w:eastAsia="en-AU"/>
              </w:rPr>
            </w:pPr>
            <w:r w:rsidRPr="009627B0">
              <w:rPr>
                <w:rFonts w:ascii="VIC" w:hAnsi="VIC" w:cs="VIC"/>
                <w:lang w:eastAsia="en-AU"/>
              </w:rPr>
              <w:t>Cascade across your organisation</w:t>
            </w:r>
          </w:p>
        </w:tc>
      </w:tr>
      <w:tr w:rsidR="009627B0" w:rsidRPr="009627B0" w14:paraId="48C25908" w14:textId="77777777" w:rsidTr="2EFD3473">
        <w:tc>
          <w:tcPr>
            <w:tcW w:w="2791" w:type="dxa"/>
            <w:tcBorders>
              <w:top w:val="single" w:sz="6" w:space="0" w:color="00573F" w:themeColor="text2"/>
              <w:left w:val="nil"/>
              <w:bottom w:val="single" w:sz="6" w:space="0" w:color="00573F" w:themeColor="text2"/>
              <w:right w:val="single" w:sz="6" w:space="0" w:color="00573F" w:themeColor="text2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0FA9F93B" w14:textId="77777777" w:rsidR="006D3232" w:rsidRPr="009627B0" w:rsidRDefault="006D3232" w:rsidP="00F93B96">
            <w:pPr>
              <w:pStyle w:val="TableChartBody"/>
              <w:spacing w:line="264" w:lineRule="auto"/>
              <w:rPr>
                <w:rFonts w:ascii="VIC" w:hAnsi="VIC"/>
              </w:rPr>
            </w:pPr>
            <w:r w:rsidRPr="009627B0">
              <w:rPr>
                <w:rFonts w:ascii="VIC" w:hAnsi="VIC"/>
              </w:rPr>
              <w:t>1 week out</w:t>
            </w:r>
          </w:p>
        </w:tc>
        <w:tc>
          <w:tcPr>
            <w:tcW w:w="6235" w:type="dxa"/>
            <w:tcBorders>
              <w:top w:val="single" w:sz="6" w:space="0" w:color="00573F" w:themeColor="text2"/>
              <w:left w:val="single" w:sz="6" w:space="0" w:color="00573F" w:themeColor="text2"/>
              <w:bottom w:val="single" w:sz="6" w:space="0" w:color="00573F" w:themeColor="text2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06CB0216" w14:textId="77777777" w:rsidR="006D3232" w:rsidRPr="009627B0" w:rsidRDefault="006D3232" w:rsidP="00F93B96">
            <w:pPr>
              <w:pStyle w:val="TableBullet1"/>
              <w:numPr>
                <w:ilvl w:val="0"/>
                <w:numId w:val="0"/>
              </w:numPr>
              <w:spacing w:before="0" w:after="0" w:line="264" w:lineRule="auto"/>
              <w:ind w:left="284" w:hanging="284"/>
              <w:rPr>
                <w:b/>
                <w:bCs/>
              </w:rPr>
            </w:pPr>
            <w:r w:rsidRPr="009627B0">
              <w:rPr>
                <w:b/>
                <w:bCs/>
              </w:rPr>
              <w:t>Reinforce your campaign</w:t>
            </w:r>
          </w:p>
          <w:p w14:paraId="351BBB91" w14:textId="77777777" w:rsidR="006D3232" w:rsidRPr="009627B0" w:rsidRDefault="006D3232" w:rsidP="006D3232">
            <w:pPr>
              <w:pStyle w:val="TableBullet1"/>
              <w:numPr>
                <w:ilvl w:val="0"/>
                <w:numId w:val="4"/>
              </w:numPr>
              <w:spacing w:before="0" w:after="0" w:line="264" w:lineRule="auto"/>
            </w:pPr>
            <w:r w:rsidRPr="009627B0">
              <w:t>Ask your leaders and survey champions to actively promote the survey</w:t>
            </w:r>
          </w:p>
          <w:p w14:paraId="03F77EA6" w14:textId="6C062514" w:rsidR="006D3232" w:rsidRPr="009627B0" w:rsidRDefault="006D3232" w:rsidP="006D3232">
            <w:pPr>
              <w:pStyle w:val="TableBullet1"/>
              <w:numPr>
                <w:ilvl w:val="0"/>
                <w:numId w:val="4"/>
              </w:numPr>
              <w:spacing w:before="0" w:after="0" w:line="264" w:lineRule="auto"/>
            </w:pPr>
            <w:r>
              <w:t xml:space="preserve">Add </w:t>
            </w:r>
            <w:r w:rsidR="00B9262A">
              <w:t xml:space="preserve">People matter survey for </w:t>
            </w:r>
            <w:r w:rsidR="00537D7C">
              <w:t>gender equality reporting</w:t>
            </w:r>
            <w:r w:rsidR="00B9262A">
              <w:t xml:space="preserve"> </w:t>
            </w:r>
            <w:r>
              <w:t>email signature banners to emails</w:t>
            </w:r>
          </w:p>
        </w:tc>
      </w:tr>
      <w:tr w:rsidR="009627B0" w:rsidRPr="009627B0" w14:paraId="6D295618" w14:textId="77777777" w:rsidTr="2EFD3473">
        <w:tc>
          <w:tcPr>
            <w:tcW w:w="2791" w:type="dxa"/>
            <w:tcBorders>
              <w:top w:val="single" w:sz="6" w:space="0" w:color="00573F" w:themeColor="text2"/>
              <w:left w:val="nil"/>
              <w:bottom w:val="single" w:sz="6" w:space="0" w:color="00573F" w:themeColor="text2"/>
              <w:right w:val="single" w:sz="6" w:space="0" w:color="00573F" w:themeColor="text2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62DE609F" w14:textId="77777777" w:rsidR="006D3232" w:rsidRPr="009627B0" w:rsidRDefault="006D3232" w:rsidP="00F93B96">
            <w:pPr>
              <w:pStyle w:val="TableChartBody"/>
              <w:spacing w:line="264" w:lineRule="auto"/>
              <w:rPr>
                <w:rFonts w:ascii="VIC" w:hAnsi="VIC"/>
              </w:rPr>
            </w:pPr>
            <w:r w:rsidRPr="009627B0">
              <w:rPr>
                <w:rFonts w:ascii="VIC" w:hAnsi="VIC"/>
              </w:rPr>
              <w:lastRenderedPageBreak/>
              <w:t>Survey opens</w:t>
            </w:r>
          </w:p>
        </w:tc>
        <w:tc>
          <w:tcPr>
            <w:tcW w:w="6235" w:type="dxa"/>
            <w:tcBorders>
              <w:top w:val="single" w:sz="6" w:space="0" w:color="00573F" w:themeColor="text2"/>
              <w:left w:val="single" w:sz="6" w:space="0" w:color="00573F" w:themeColor="text2"/>
              <w:bottom w:val="single" w:sz="6" w:space="0" w:color="00573F" w:themeColor="text2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082D9001" w14:textId="77777777" w:rsidR="006D3232" w:rsidRPr="009627B0" w:rsidRDefault="006D3232" w:rsidP="00F93B96">
            <w:pPr>
              <w:pStyle w:val="TableBullet1"/>
              <w:numPr>
                <w:ilvl w:val="0"/>
                <w:numId w:val="0"/>
              </w:numPr>
              <w:spacing w:before="0" w:after="0" w:line="264" w:lineRule="auto"/>
              <w:ind w:left="284" w:hanging="284"/>
              <w:rPr>
                <w:b/>
                <w:bCs/>
              </w:rPr>
            </w:pPr>
            <w:r w:rsidRPr="009627B0">
              <w:rPr>
                <w:b/>
                <w:bCs/>
              </w:rPr>
              <w:t xml:space="preserve">Open the survey </w:t>
            </w:r>
          </w:p>
          <w:p w14:paraId="56FA1A7A" w14:textId="77777777" w:rsidR="006D3232" w:rsidRPr="009627B0" w:rsidRDefault="006D3232" w:rsidP="006D3232">
            <w:pPr>
              <w:pStyle w:val="TableBullet1"/>
              <w:numPr>
                <w:ilvl w:val="0"/>
                <w:numId w:val="3"/>
              </w:numPr>
              <w:spacing w:before="0" w:after="0" w:line="264" w:lineRule="auto"/>
            </w:pPr>
            <w:r w:rsidRPr="009627B0">
              <w:t>Remind employees of the survey opening and closing dates</w:t>
            </w:r>
          </w:p>
          <w:p w14:paraId="53D6A94A" w14:textId="77777777" w:rsidR="006D3232" w:rsidRPr="009627B0" w:rsidRDefault="006D3232" w:rsidP="006D3232">
            <w:pPr>
              <w:pStyle w:val="TableBullet1"/>
              <w:numPr>
                <w:ilvl w:val="0"/>
                <w:numId w:val="3"/>
              </w:numPr>
              <w:spacing w:before="0" w:after="0" w:line="264" w:lineRule="auto"/>
              <w:rPr>
                <w:b/>
                <w:bCs/>
              </w:rPr>
            </w:pPr>
            <w:r w:rsidRPr="009627B0">
              <w:t>Display splash screens at workstations</w:t>
            </w:r>
          </w:p>
        </w:tc>
      </w:tr>
      <w:tr w:rsidR="00950A09" w:rsidRPr="009627B0" w14:paraId="4DA84F74" w14:textId="77777777" w:rsidTr="2EFD3473">
        <w:tc>
          <w:tcPr>
            <w:tcW w:w="2791" w:type="dxa"/>
            <w:tcBorders>
              <w:top w:val="single" w:sz="6" w:space="0" w:color="00573F" w:themeColor="text2"/>
              <w:left w:val="nil"/>
              <w:bottom w:val="nil"/>
              <w:right w:val="single" w:sz="6" w:space="0" w:color="00573F" w:themeColor="text2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65D8CB3B" w14:textId="77777777" w:rsidR="006D3232" w:rsidRPr="009627B0" w:rsidRDefault="006D3232" w:rsidP="00F93B96">
            <w:pPr>
              <w:pStyle w:val="TableChartBody"/>
              <w:spacing w:line="264" w:lineRule="auto"/>
              <w:rPr>
                <w:rFonts w:ascii="VIC" w:hAnsi="VIC"/>
              </w:rPr>
            </w:pPr>
            <w:r w:rsidRPr="009627B0">
              <w:rPr>
                <w:rFonts w:ascii="VIC" w:hAnsi="VIC"/>
              </w:rPr>
              <w:t>Survey closes</w:t>
            </w:r>
          </w:p>
        </w:tc>
        <w:tc>
          <w:tcPr>
            <w:tcW w:w="6235" w:type="dxa"/>
            <w:tcBorders>
              <w:top w:val="single" w:sz="6" w:space="0" w:color="00573F" w:themeColor="text2"/>
              <w:left w:val="single" w:sz="6" w:space="0" w:color="00573F" w:themeColor="text2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48F981A8" w14:textId="77777777" w:rsidR="006D3232" w:rsidRPr="009627B0" w:rsidRDefault="006D3232" w:rsidP="00F93B96">
            <w:pPr>
              <w:pStyle w:val="TableBullet1"/>
              <w:numPr>
                <w:ilvl w:val="0"/>
                <w:numId w:val="0"/>
              </w:numPr>
              <w:spacing w:line="264" w:lineRule="auto"/>
              <w:ind w:left="284" w:hanging="284"/>
              <w:rPr>
                <w:b/>
                <w:bCs/>
              </w:rPr>
            </w:pPr>
            <w:r w:rsidRPr="009627B0">
              <w:rPr>
                <w:b/>
                <w:bCs/>
              </w:rPr>
              <w:t>Close the survey</w:t>
            </w:r>
          </w:p>
          <w:p w14:paraId="26EFE11A" w14:textId="77777777" w:rsidR="006D3232" w:rsidRPr="009627B0" w:rsidRDefault="006D3232" w:rsidP="004528A1">
            <w:pPr>
              <w:pStyle w:val="TableBullet1"/>
              <w:numPr>
                <w:ilvl w:val="0"/>
                <w:numId w:val="13"/>
              </w:numPr>
              <w:spacing w:after="0" w:line="264" w:lineRule="auto"/>
            </w:pPr>
            <w:r w:rsidRPr="009627B0">
              <w:t>Thank staff for their participation</w:t>
            </w:r>
          </w:p>
          <w:p w14:paraId="5B9B5878" w14:textId="77777777" w:rsidR="006D3232" w:rsidRPr="009627B0" w:rsidRDefault="006D3232" w:rsidP="004528A1">
            <w:pPr>
              <w:pStyle w:val="TableBullet1"/>
              <w:numPr>
                <w:ilvl w:val="0"/>
                <w:numId w:val="5"/>
              </w:numPr>
              <w:spacing w:before="0" w:after="0" w:line="264" w:lineRule="auto"/>
            </w:pPr>
            <w:r w:rsidRPr="009627B0">
              <w:t xml:space="preserve">Tell your teams when they can expect to see results </w:t>
            </w:r>
          </w:p>
          <w:p w14:paraId="719DCC02" w14:textId="419E09B6" w:rsidR="006D3232" w:rsidRPr="009627B0" w:rsidRDefault="006D3232" w:rsidP="004528A1">
            <w:pPr>
              <w:pStyle w:val="TableBullet1"/>
              <w:numPr>
                <w:ilvl w:val="0"/>
                <w:numId w:val="5"/>
              </w:numPr>
              <w:spacing w:before="0" w:line="264" w:lineRule="auto"/>
            </w:pPr>
            <w:r w:rsidRPr="009627B0">
              <w:t xml:space="preserve">Share the results </w:t>
            </w:r>
            <w:r w:rsidR="00610F06">
              <w:t>when they are available</w:t>
            </w:r>
          </w:p>
        </w:tc>
      </w:tr>
    </w:tbl>
    <w:p w14:paraId="4CFCF02E" w14:textId="77777777" w:rsidR="006D3232" w:rsidRPr="009627B0" w:rsidRDefault="006D3232" w:rsidP="006D3232"/>
    <w:p w14:paraId="1E96E2CA" w14:textId="70E3D133" w:rsidR="006D3232" w:rsidRPr="009627B0" w:rsidRDefault="006D3232" w:rsidP="006D3232">
      <w:pPr>
        <w:pStyle w:val="Heading1"/>
        <w:rPr>
          <w:color w:val="auto"/>
        </w:rPr>
      </w:pPr>
      <w:bookmarkStart w:id="17" w:name="_Toc70589074"/>
      <w:r w:rsidRPr="009627B0">
        <w:rPr>
          <w:color w:val="auto"/>
        </w:rPr>
        <w:t xml:space="preserve">Step-by-step guide: </w:t>
      </w:r>
      <w:r w:rsidR="00901098">
        <w:rPr>
          <w:color w:val="auto"/>
        </w:rPr>
        <w:t>3</w:t>
      </w:r>
      <w:r w:rsidRPr="009627B0">
        <w:rPr>
          <w:color w:val="auto"/>
        </w:rPr>
        <w:t xml:space="preserve"> weeks out</w:t>
      </w:r>
      <w:bookmarkEnd w:id="17"/>
    </w:p>
    <w:p w14:paraId="1D871D33" w14:textId="4371D899" w:rsidR="006D3232" w:rsidRPr="009627B0" w:rsidRDefault="00901098" w:rsidP="006D3232">
      <w:pPr>
        <w:pStyle w:val="Heading2"/>
        <w:rPr>
          <w:color w:val="auto"/>
        </w:rPr>
      </w:pPr>
      <w:bookmarkStart w:id="18" w:name="_Toc49856757"/>
      <w:bookmarkStart w:id="19" w:name="_Toc50534260"/>
      <w:bookmarkStart w:id="20" w:name="_Toc70589075"/>
      <w:r>
        <w:rPr>
          <w:color w:val="auto"/>
        </w:rPr>
        <w:t>3</w:t>
      </w:r>
      <w:r w:rsidR="006D3232" w:rsidRPr="009627B0">
        <w:rPr>
          <w:color w:val="auto"/>
        </w:rPr>
        <w:t xml:space="preserve"> weeks before your survey</w:t>
      </w:r>
      <w:bookmarkEnd w:id="18"/>
      <w:bookmarkEnd w:id="19"/>
      <w:bookmarkEnd w:id="20"/>
    </w:p>
    <w:p w14:paraId="637801BF" w14:textId="77777777" w:rsidR="006D3232" w:rsidRPr="009627B0" w:rsidRDefault="006D3232" w:rsidP="006D3232">
      <w:pPr>
        <w:rPr>
          <w:b/>
          <w:bCs/>
        </w:rPr>
      </w:pPr>
      <w:r w:rsidRPr="009627B0">
        <w:rPr>
          <w:b/>
          <w:bCs/>
        </w:rPr>
        <w:t>Start planning your campaign</w:t>
      </w:r>
    </w:p>
    <w:p w14:paraId="0DE7DC86" w14:textId="77777777" w:rsidR="006D3232" w:rsidRPr="009627B0" w:rsidRDefault="006D3232" w:rsidP="006D3232">
      <w:pPr>
        <w:pStyle w:val="ListParagraph"/>
        <w:numPr>
          <w:ilvl w:val="0"/>
          <w:numId w:val="10"/>
        </w:numPr>
        <w:rPr>
          <w:rFonts w:eastAsia="Times New Roman"/>
          <w:b/>
          <w:bCs/>
        </w:rPr>
      </w:pPr>
      <w:r w:rsidRPr="009627B0">
        <w:rPr>
          <w:b/>
          <w:bCs/>
        </w:rPr>
        <w:t xml:space="preserve">Target audience </w:t>
      </w:r>
    </w:p>
    <w:p w14:paraId="1303B5E2" w14:textId="42FFB604" w:rsidR="006D3232" w:rsidRPr="009627B0" w:rsidRDefault="006D3232" w:rsidP="007B2ECC">
      <w:pPr>
        <w:pStyle w:val="ListParagraph"/>
        <w:ind w:firstLine="0"/>
        <w:rPr>
          <w:rFonts w:eastAsia="Times New Roman"/>
          <w:b/>
          <w:bCs/>
        </w:rPr>
      </w:pPr>
      <w:r w:rsidRPr="009627B0">
        <w:t>Identify your target audience and how you plan to reach them. Depending on your organisation, you ma</w:t>
      </w:r>
      <w:r w:rsidR="00D20135">
        <w:t>y</w:t>
      </w:r>
      <w:r w:rsidRPr="009627B0">
        <w:t xml:space="preserve"> not be able to reach all employees in the same way.  </w:t>
      </w:r>
      <w:r w:rsidRPr="009627B0">
        <w:br/>
      </w:r>
    </w:p>
    <w:p w14:paraId="1065513B" w14:textId="77777777" w:rsidR="006D3232" w:rsidRPr="009627B0" w:rsidRDefault="006D3232" w:rsidP="006D3232">
      <w:pPr>
        <w:pStyle w:val="ListParagraph"/>
        <w:numPr>
          <w:ilvl w:val="0"/>
          <w:numId w:val="10"/>
        </w:numPr>
        <w:rPr>
          <w:rFonts w:eastAsia="Times New Roman"/>
          <w:b/>
          <w:bCs/>
        </w:rPr>
      </w:pPr>
      <w:r w:rsidRPr="009627B0">
        <w:rPr>
          <w:b/>
          <w:bCs/>
        </w:rPr>
        <w:t>Brainstorm campaign ideas</w:t>
      </w:r>
    </w:p>
    <w:p w14:paraId="19EA0BC5" w14:textId="77777777" w:rsidR="006D3232" w:rsidRPr="009627B0" w:rsidRDefault="006D3232" w:rsidP="007B2ECC">
      <w:pPr>
        <w:pStyle w:val="ListParagraph"/>
        <w:ind w:firstLine="0"/>
      </w:pPr>
      <w:r w:rsidRPr="009627B0">
        <w:t>Schedule a brainstorming session with the team to come up with campaign ideas.</w:t>
      </w:r>
    </w:p>
    <w:p w14:paraId="42D2350C" w14:textId="77777777" w:rsidR="006D3232" w:rsidRPr="009627B0" w:rsidRDefault="006D3232" w:rsidP="007B2ECC">
      <w:pPr>
        <w:pStyle w:val="ListParagraph"/>
        <w:ind w:firstLine="0"/>
      </w:pPr>
    </w:p>
    <w:p w14:paraId="1549D4D8" w14:textId="77777777" w:rsidR="006D3232" w:rsidRPr="009627B0" w:rsidRDefault="006D3232" w:rsidP="007B2ECC">
      <w:pPr>
        <w:pStyle w:val="ListParagraph"/>
        <w:ind w:firstLine="0"/>
        <w:rPr>
          <w:rFonts w:eastAsia="Times New Roman"/>
          <w:b/>
          <w:bCs/>
        </w:rPr>
      </w:pPr>
      <w:r w:rsidRPr="009627B0">
        <w:t>Get started with questions like:</w:t>
      </w:r>
    </w:p>
    <w:p w14:paraId="4C7720E2" w14:textId="77777777" w:rsidR="006D3232" w:rsidRPr="009627B0" w:rsidRDefault="006D3232" w:rsidP="007B2ECC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9627B0">
        <w:rPr>
          <w:rFonts w:eastAsia="Times New Roman"/>
        </w:rPr>
        <w:t xml:space="preserve">How will you reach your target audience(s)? </w:t>
      </w:r>
    </w:p>
    <w:p w14:paraId="113563B5" w14:textId="77777777" w:rsidR="006D3232" w:rsidRPr="009627B0" w:rsidRDefault="006D3232" w:rsidP="007B2ECC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9627B0">
        <w:rPr>
          <w:rFonts w:eastAsia="Times New Roman"/>
        </w:rPr>
        <w:t>What are the key messages?</w:t>
      </w:r>
    </w:p>
    <w:p w14:paraId="483ED5EB" w14:textId="77777777" w:rsidR="006D3232" w:rsidRPr="009627B0" w:rsidRDefault="006D3232" w:rsidP="007B2ECC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9627B0">
        <w:rPr>
          <w:rFonts w:eastAsia="Times New Roman"/>
        </w:rPr>
        <w:t>What channels will you use (emails, meetings, intranet etc.)?</w:t>
      </w:r>
    </w:p>
    <w:p w14:paraId="2DA176EF" w14:textId="2C8EF83D" w:rsidR="006D3232" w:rsidRPr="009627B0" w:rsidRDefault="006D3232" w:rsidP="007B2ECC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9627B0">
        <w:t xml:space="preserve">What resources will you need? </w:t>
      </w:r>
      <w:r w:rsidR="00CF55AC" w:rsidRPr="00CF55AC">
        <w:t>R</w:t>
      </w:r>
      <w:r w:rsidRPr="00CF55AC">
        <w:t>esources</w:t>
      </w:r>
      <w:r w:rsidRPr="009627B0">
        <w:t xml:space="preserve"> </w:t>
      </w:r>
      <w:r w:rsidR="00CF55AC">
        <w:t>have been sent to</w:t>
      </w:r>
      <w:r w:rsidRPr="009627B0">
        <w:t xml:space="preserve"> you to use. </w:t>
      </w:r>
    </w:p>
    <w:p w14:paraId="265C6B25" w14:textId="77777777" w:rsidR="006D3232" w:rsidRPr="009627B0" w:rsidRDefault="006D3232" w:rsidP="006D3232">
      <w:pPr>
        <w:pStyle w:val="ListParagraph"/>
        <w:numPr>
          <w:ilvl w:val="1"/>
          <w:numId w:val="10"/>
        </w:numPr>
        <w:rPr>
          <w:rFonts w:eastAsia="Times New Roman"/>
        </w:rPr>
      </w:pPr>
      <w:r w:rsidRPr="009627B0">
        <w:t>What employees or teams could help spread the message? Who will be your ‘survey champions’?</w:t>
      </w:r>
    </w:p>
    <w:p w14:paraId="42872662" w14:textId="5F271E60" w:rsidR="006D3232" w:rsidRPr="009627B0" w:rsidRDefault="006D3232" w:rsidP="006D3232">
      <w:pPr>
        <w:pStyle w:val="ListParagraph"/>
        <w:numPr>
          <w:ilvl w:val="1"/>
          <w:numId w:val="10"/>
        </w:numPr>
        <w:rPr>
          <w:rFonts w:eastAsia="Times New Roman"/>
        </w:rPr>
      </w:pPr>
      <w:r w:rsidRPr="009627B0">
        <w:rPr>
          <w:rFonts w:eastAsia="Times New Roman"/>
        </w:rPr>
        <w:t>What activities could you do to encourage participation? (see our participation tips</w:t>
      </w:r>
      <w:r w:rsidR="00DE7072">
        <w:rPr>
          <w:rFonts w:eastAsia="Times New Roman"/>
        </w:rPr>
        <w:t>).</w:t>
      </w:r>
    </w:p>
    <w:p w14:paraId="55D8636E" w14:textId="77777777" w:rsidR="006D3232" w:rsidRPr="009627B0" w:rsidRDefault="006D3232" w:rsidP="006D3232">
      <w:pPr>
        <w:pStyle w:val="ListParagraph"/>
        <w:ind w:left="0" w:firstLine="0"/>
        <w:rPr>
          <w:b/>
          <w:bCs/>
        </w:rPr>
      </w:pPr>
    </w:p>
    <w:p w14:paraId="696B4707" w14:textId="77777777" w:rsidR="006D3232" w:rsidRPr="009627B0" w:rsidRDefault="006D3232" w:rsidP="006D3232">
      <w:pPr>
        <w:pStyle w:val="ListParagraph"/>
        <w:numPr>
          <w:ilvl w:val="0"/>
          <w:numId w:val="10"/>
        </w:numPr>
        <w:rPr>
          <w:rFonts w:eastAsia="Times New Roman"/>
          <w:b/>
          <w:bCs/>
        </w:rPr>
      </w:pPr>
      <w:r w:rsidRPr="009627B0">
        <w:rPr>
          <w:b/>
          <w:bCs/>
        </w:rPr>
        <w:t>Create a campaign plan and activities schedule</w:t>
      </w:r>
    </w:p>
    <w:p w14:paraId="5390D01A" w14:textId="77777777" w:rsidR="006D3232" w:rsidRPr="007B2ECC" w:rsidRDefault="006D3232" w:rsidP="007B2ECC">
      <w:pPr>
        <w:pStyle w:val="ListParagraph"/>
        <w:ind w:firstLine="0"/>
        <w:rPr>
          <w:b/>
        </w:rPr>
      </w:pPr>
      <w:r w:rsidRPr="009627B0">
        <w:lastRenderedPageBreak/>
        <w:t xml:space="preserve">Once you’ve decided on your campaign activities, create a plan and schedule. You don’t want to release your activities at once. Instead, aim to build momentum and remain flexible. </w:t>
      </w:r>
    </w:p>
    <w:p w14:paraId="758C593F" w14:textId="77777777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10"/>
        </w:numPr>
        <w:spacing w:before="0" w:after="160" w:line="259" w:lineRule="auto"/>
        <w:rPr>
          <w:b/>
        </w:rPr>
      </w:pPr>
      <w:r w:rsidRPr="009627B0">
        <w:rPr>
          <w:b/>
          <w:bCs/>
        </w:rPr>
        <w:t>Start drafting materials</w:t>
      </w:r>
    </w:p>
    <w:p w14:paraId="2448C3FE" w14:textId="4D073314" w:rsidR="006D3232" w:rsidRPr="009627B0" w:rsidRDefault="006D3232" w:rsidP="007B2ECC">
      <w:pPr>
        <w:pStyle w:val="TableBullet1"/>
        <w:keepNext w:val="0"/>
        <w:keepLines w:val="0"/>
        <w:numPr>
          <w:ilvl w:val="0"/>
          <w:numId w:val="0"/>
        </w:numPr>
        <w:spacing w:before="0" w:after="160" w:line="259" w:lineRule="auto"/>
        <w:ind w:left="357"/>
      </w:pPr>
      <w:r w:rsidRPr="003C7CE4">
        <w:t xml:space="preserve">Draft the promotional materials you’ll need to deliver your campaign. We’ve created key messages, templates, </w:t>
      </w:r>
      <w:r w:rsidR="00E42122">
        <w:t xml:space="preserve">a </w:t>
      </w:r>
      <w:r w:rsidRPr="003C7CE4">
        <w:t>sample article and more that you can personalise.</w:t>
      </w:r>
      <w:r w:rsidRPr="009627B0">
        <w:t xml:space="preserve"> </w:t>
      </w:r>
    </w:p>
    <w:p w14:paraId="3BAF5ADD" w14:textId="77777777" w:rsidR="006D3232" w:rsidRPr="00DE57DB" w:rsidRDefault="006D3232" w:rsidP="006D3232">
      <w:pPr>
        <w:rPr>
          <w:rStyle w:val="Hyperlink"/>
          <w:color w:val="auto"/>
          <w:u w:val="none"/>
        </w:rPr>
      </w:pPr>
      <w:r w:rsidRPr="00DE57DB">
        <w:rPr>
          <w:rStyle w:val="Hyperlink"/>
          <w:b/>
          <w:bCs/>
          <w:color w:val="auto"/>
          <w:u w:val="none"/>
        </w:rPr>
        <w:t>Share your plan with senior leaders</w:t>
      </w:r>
      <w:r w:rsidRPr="00DE57DB">
        <w:rPr>
          <w:rStyle w:val="Hyperlink"/>
          <w:color w:val="auto"/>
          <w:u w:val="none"/>
        </w:rPr>
        <w:br/>
        <w:t xml:space="preserve">Tell senior leaders and managers about the survey and why it is important. Share your campaign plan and delegate tasks based on your planned activities. </w:t>
      </w:r>
    </w:p>
    <w:p w14:paraId="513DB643" w14:textId="77777777" w:rsidR="006D3232" w:rsidRPr="00DE57DB" w:rsidRDefault="006D3232" w:rsidP="006D3232">
      <w:pPr>
        <w:rPr>
          <w:rStyle w:val="Hyperlink"/>
          <w:color w:val="auto"/>
          <w:u w:val="none"/>
        </w:rPr>
      </w:pPr>
      <w:r w:rsidRPr="00DE57DB">
        <w:rPr>
          <w:rStyle w:val="Hyperlink"/>
          <w:color w:val="auto"/>
          <w:u w:val="none"/>
        </w:rPr>
        <w:t>Make special note of the:</w:t>
      </w:r>
    </w:p>
    <w:p w14:paraId="47860A59" w14:textId="77777777" w:rsidR="006D3232" w:rsidRPr="00DE57DB" w:rsidRDefault="006D3232" w:rsidP="006D3232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DE57DB">
        <w:rPr>
          <w:rStyle w:val="Hyperlink"/>
          <w:color w:val="auto"/>
          <w:u w:val="none"/>
        </w:rPr>
        <w:t>survey open and close dates</w:t>
      </w:r>
    </w:p>
    <w:p w14:paraId="7C47C248" w14:textId="77777777" w:rsidR="006D3232" w:rsidRPr="00DE57DB" w:rsidRDefault="006D3232" w:rsidP="006D3232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DE57DB">
        <w:rPr>
          <w:rStyle w:val="Hyperlink"/>
          <w:color w:val="auto"/>
          <w:u w:val="none"/>
        </w:rPr>
        <w:t>activities schedule and tasks</w:t>
      </w:r>
    </w:p>
    <w:p w14:paraId="67F54F12" w14:textId="77777777" w:rsidR="006D3232" w:rsidRPr="00DE57DB" w:rsidRDefault="006D3232" w:rsidP="006D3232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DE57DB">
        <w:rPr>
          <w:rStyle w:val="Hyperlink"/>
          <w:color w:val="auto"/>
          <w:u w:val="none"/>
        </w:rPr>
        <w:t>key messages</w:t>
      </w:r>
    </w:p>
    <w:p w14:paraId="48E75CC0" w14:textId="463EDFB1" w:rsidR="006D3232" w:rsidRPr="00DE57DB" w:rsidRDefault="006D3232" w:rsidP="006D3232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DE57DB">
        <w:rPr>
          <w:rStyle w:val="Hyperlink"/>
          <w:color w:val="auto"/>
          <w:u w:val="none"/>
        </w:rPr>
        <w:t xml:space="preserve">anonymity protections and </w:t>
      </w:r>
      <w:hyperlink r:id="rId12" w:history="1">
        <w:r w:rsidRPr="00926F1F">
          <w:rPr>
            <w:rStyle w:val="Hyperlink"/>
            <w:color w:val="auto"/>
            <w:u w:val="none"/>
          </w:rPr>
          <w:t>Data collection statement</w:t>
        </w:r>
      </w:hyperlink>
    </w:p>
    <w:p w14:paraId="6EDE0B36" w14:textId="6C12DF58" w:rsidR="006D3232" w:rsidRPr="009627B0" w:rsidRDefault="006D3232" w:rsidP="006D3232">
      <w:pPr>
        <w:pStyle w:val="Heading1"/>
        <w:rPr>
          <w:color w:val="auto"/>
        </w:rPr>
      </w:pPr>
      <w:bookmarkStart w:id="21" w:name="_Toc70589077"/>
      <w:bookmarkStart w:id="22" w:name="_Toc49856761"/>
      <w:bookmarkStart w:id="23" w:name="_Toc50534262"/>
      <w:r w:rsidRPr="009627B0">
        <w:rPr>
          <w:color w:val="auto"/>
        </w:rPr>
        <w:t>Step-by-step guide: 2 weeks out</w:t>
      </w:r>
      <w:bookmarkEnd w:id="21"/>
    </w:p>
    <w:bookmarkEnd w:id="22"/>
    <w:bookmarkEnd w:id="23"/>
    <w:p w14:paraId="5761122C" w14:textId="77777777" w:rsidR="006D3232" w:rsidRPr="00DE57DB" w:rsidRDefault="006D3232" w:rsidP="006D3232">
      <w:pPr>
        <w:pStyle w:val="TableBullet1"/>
        <w:keepNext w:val="0"/>
        <w:keepLines w:val="0"/>
        <w:numPr>
          <w:ilvl w:val="0"/>
          <w:numId w:val="0"/>
        </w:numPr>
        <w:spacing w:before="0" w:after="160" w:line="259" w:lineRule="auto"/>
        <w:ind w:left="357" w:hanging="357"/>
        <w:rPr>
          <w:rStyle w:val="Hyperlink"/>
          <w:b/>
          <w:bCs/>
          <w:color w:val="auto"/>
          <w:u w:val="none"/>
          <w:lang w:eastAsia="en-AU"/>
        </w:rPr>
      </w:pPr>
      <w:r w:rsidRPr="00DE57DB">
        <w:rPr>
          <w:rStyle w:val="Hyperlink"/>
          <w:b/>
          <w:bCs/>
          <w:color w:val="auto"/>
          <w:u w:val="none"/>
          <w:lang w:eastAsia="en-AU"/>
        </w:rPr>
        <w:t>Build awareness</w:t>
      </w:r>
    </w:p>
    <w:p w14:paraId="4203100E" w14:textId="77777777" w:rsidR="006D3232" w:rsidRPr="00DE57DB" w:rsidRDefault="006D3232" w:rsidP="006D3232">
      <w:pPr>
        <w:pStyle w:val="TableChartBody"/>
        <w:spacing w:line="264" w:lineRule="auto"/>
        <w:rPr>
          <w:rStyle w:val="Hyperlink"/>
          <w:color w:val="auto"/>
          <w:u w:val="none"/>
          <w:lang w:eastAsia="en-AU"/>
        </w:rPr>
      </w:pPr>
      <w:r w:rsidRPr="00DE57DB">
        <w:rPr>
          <w:rStyle w:val="Hyperlink"/>
          <w:color w:val="auto"/>
          <w:u w:val="none"/>
          <w:lang w:eastAsia="en-AU"/>
        </w:rPr>
        <w:t>Start rolling out your campaign to build awareness about the survey, why it’s important and how the results will be used.</w:t>
      </w:r>
    </w:p>
    <w:p w14:paraId="0A8BBC69" w14:textId="77777777" w:rsidR="006D3232" w:rsidRPr="00DE57DB" w:rsidRDefault="006D3232" w:rsidP="006D3232">
      <w:pPr>
        <w:pStyle w:val="TableChartBody"/>
        <w:spacing w:line="264" w:lineRule="auto"/>
        <w:rPr>
          <w:rStyle w:val="Hyperlink"/>
          <w:color w:val="auto"/>
          <w:u w:val="none"/>
          <w:lang w:eastAsia="en-AU"/>
        </w:rPr>
      </w:pPr>
      <w:r w:rsidRPr="00DE57DB">
        <w:rPr>
          <w:rStyle w:val="Hyperlink"/>
          <w:color w:val="auto"/>
          <w:u w:val="none"/>
          <w:lang w:eastAsia="en-AU"/>
        </w:rPr>
        <w:br/>
        <w:t xml:space="preserve">You could: </w:t>
      </w:r>
    </w:p>
    <w:p w14:paraId="2DC7BB06" w14:textId="77777777" w:rsidR="006D3232" w:rsidRPr="00DE57DB" w:rsidRDefault="006D3232" w:rsidP="006D3232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DE57DB">
        <w:rPr>
          <w:rStyle w:val="Hyperlink"/>
          <w:color w:val="auto"/>
          <w:u w:val="none"/>
        </w:rPr>
        <w:t xml:space="preserve">have a senior leader send out an all-staff email </w:t>
      </w:r>
    </w:p>
    <w:p w14:paraId="625E9577" w14:textId="77777777" w:rsidR="006D3232" w:rsidRPr="00DE57DB" w:rsidRDefault="006D3232" w:rsidP="006D3232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DE57DB">
        <w:rPr>
          <w:rStyle w:val="Hyperlink"/>
          <w:color w:val="auto"/>
          <w:u w:val="none"/>
        </w:rPr>
        <w:t>send calendar invites</w:t>
      </w:r>
    </w:p>
    <w:p w14:paraId="6198F096" w14:textId="77777777" w:rsidR="006D3232" w:rsidRPr="00DE57DB" w:rsidRDefault="006D3232" w:rsidP="006D3232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DE57DB">
        <w:rPr>
          <w:rStyle w:val="Hyperlink"/>
          <w:color w:val="auto"/>
          <w:u w:val="none"/>
        </w:rPr>
        <w:t>mobilise your survey champions</w:t>
      </w:r>
    </w:p>
    <w:p w14:paraId="43529C15" w14:textId="77777777" w:rsidR="006D3232" w:rsidRPr="00DE57DB" w:rsidRDefault="006D3232" w:rsidP="006D3232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DE57DB">
        <w:rPr>
          <w:rStyle w:val="Hyperlink"/>
          <w:color w:val="auto"/>
          <w:u w:val="none"/>
        </w:rPr>
        <w:t xml:space="preserve">talk about outcomes from previous surveys </w:t>
      </w:r>
    </w:p>
    <w:p w14:paraId="533AB98E" w14:textId="55A507FE" w:rsidR="006D3232" w:rsidRPr="00DE57DB" w:rsidRDefault="006D3232" w:rsidP="006D3232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DE57DB">
        <w:rPr>
          <w:rStyle w:val="Hyperlink"/>
          <w:color w:val="auto"/>
          <w:u w:val="none"/>
        </w:rPr>
        <w:t>reinforce that the survey is anonymous</w:t>
      </w:r>
      <w:r w:rsidR="00C52CCD">
        <w:rPr>
          <w:rStyle w:val="Hyperlink"/>
          <w:color w:val="auto"/>
          <w:u w:val="none"/>
        </w:rPr>
        <w:t>.</w:t>
      </w:r>
      <w:r w:rsidRPr="00DE57DB">
        <w:rPr>
          <w:rStyle w:val="Hyperlink"/>
          <w:color w:val="auto"/>
          <w:u w:val="none"/>
        </w:rPr>
        <w:t xml:space="preserve"> </w:t>
      </w:r>
    </w:p>
    <w:p w14:paraId="0EED53F5" w14:textId="7E48320A" w:rsidR="006D3232" w:rsidRPr="009627B0" w:rsidRDefault="006D3232" w:rsidP="006D3232">
      <w:pPr>
        <w:pStyle w:val="Heading1"/>
        <w:rPr>
          <w:color w:val="auto"/>
        </w:rPr>
      </w:pPr>
      <w:bookmarkStart w:id="24" w:name="_Toc70589078"/>
      <w:bookmarkStart w:id="25" w:name="_Toc49856763"/>
      <w:bookmarkStart w:id="26" w:name="_Toc50534263"/>
      <w:r w:rsidRPr="009627B0">
        <w:rPr>
          <w:color w:val="auto"/>
        </w:rPr>
        <w:t>Step-by-step guide: 1 week out</w:t>
      </w:r>
      <w:bookmarkEnd w:id="24"/>
    </w:p>
    <w:bookmarkEnd w:id="25"/>
    <w:bookmarkEnd w:id="26"/>
    <w:p w14:paraId="41BA898A" w14:textId="311D6446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0"/>
        </w:numPr>
        <w:spacing w:before="0" w:after="160" w:line="259" w:lineRule="auto"/>
        <w:ind w:left="357" w:hanging="357"/>
        <w:rPr>
          <w:b/>
          <w:bCs/>
          <w:lang w:eastAsia="en-AU"/>
        </w:rPr>
      </w:pPr>
      <w:r w:rsidRPr="009627B0">
        <w:rPr>
          <w:b/>
          <w:bCs/>
          <w:lang w:eastAsia="en-AU"/>
        </w:rPr>
        <w:t xml:space="preserve">Step </w:t>
      </w:r>
      <w:r w:rsidR="00662169">
        <w:rPr>
          <w:b/>
          <w:bCs/>
          <w:lang w:eastAsia="en-AU"/>
        </w:rPr>
        <w:t>i</w:t>
      </w:r>
      <w:r w:rsidRPr="009627B0">
        <w:rPr>
          <w:b/>
          <w:bCs/>
          <w:lang w:eastAsia="en-AU"/>
        </w:rPr>
        <w:t>t up</w:t>
      </w:r>
    </w:p>
    <w:p w14:paraId="2C3B3B11" w14:textId="77777777" w:rsidR="006D3232" w:rsidRPr="009627B0" w:rsidRDefault="006D3232" w:rsidP="00DE57DB">
      <w:pPr>
        <w:pStyle w:val="Body"/>
        <w:rPr>
          <w:lang w:eastAsia="en-AU"/>
        </w:rPr>
      </w:pPr>
      <w:r w:rsidRPr="009627B0">
        <w:rPr>
          <w:lang w:eastAsia="en-AU"/>
        </w:rPr>
        <w:t xml:space="preserve">Roll out campaign activities and aim to increase the frequency of your messaging using different channels of communications. </w:t>
      </w:r>
    </w:p>
    <w:p w14:paraId="7755BD09" w14:textId="77777777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0"/>
        </w:numPr>
        <w:spacing w:before="0" w:after="160" w:line="259" w:lineRule="auto"/>
        <w:ind w:left="357" w:hanging="357"/>
        <w:rPr>
          <w:lang w:eastAsia="en-AU"/>
        </w:rPr>
      </w:pPr>
      <w:r w:rsidRPr="009627B0">
        <w:rPr>
          <w:lang w:eastAsia="en-AU"/>
        </w:rPr>
        <w:t xml:space="preserve">You could: </w:t>
      </w:r>
    </w:p>
    <w:p w14:paraId="2F41F583" w14:textId="77777777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11"/>
        </w:numPr>
        <w:spacing w:before="0" w:after="160" w:line="259" w:lineRule="auto"/>
        <w:rPr>
          <w:lang w:eastAsia="en-AU"/>
        </w:rPr>
      </w:pPr>
      <w:r w:rsidRPr="009627B0">
        <w:rPr>
          <w:lang w:eastAsia="en-AU"/>
        </w:rPr>
        <w:t>share participation tips with leaders in your organisation</w:t>
      </w:r>
    </w:p>
    <w:p w14:paraId="10746428" w14:textId="77777777" w:rsidR="006D3232" w:rsidRPr="00DE57DB" w:rsidRDefault="006D3232" w:rsidP="006D3232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</w:rPr>
      </w:pPr>
      <w:r w:rsidRPr="00DE57DB">
        <w:rPr>
          <w:rStyle w:val="Hyperlink"/>
          <w:color w:val="auto"/>
          <w:u w:val="none"/>
        </w:rPr>
        <w:lastRenderedPageBreak/>
        <w:t>provide key messages for managers and survey champions to share in meetings</w:t>
      </w:r>
    </w:p>
    <w:p w14:paraId="5C330388" w14:textId="410CCA08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11"/>
        </w:numPr>
        <w:spacing w:before="0" w:after="160" w:line="259" w:lineRule="auto"/>
        <w:rPr>
          <w:lang w:eastAsia="en-AU"/>
        </w:rPr>
      </w:pPr>
      <w:r w:rsidRPr="2EFD3473">
        <w:rPr>
          <w:lang w:eastAsia="en-AU"/>
        </w:rPr>
        <w:t xml:space="preserve">ask managers and survey champions to install the </w:t>
      </w:r>
      <w:r w:rsidR="000F28E8">
        <w:t xml:space="preserve">People matter survey for </w:t>
      </w:r>
      <w:r w:rsidR="00537D7C">
        <w:t>gender equality reporting</w:t>
      </w:r>
      <w:r w:rsidR="000F28E8">
        <w:t xml:space="preserve"> </w:t>
      </w:r>
      <w:r w:rsidRPr="2EFD3473">
        <w:rPr>
          <w:lang w:eastAsia="en-AU"/>
        </w:rPr>
        <w:t>email signature</w:t>
      </w:r>
      <w:r w:rsidR="428C12AB" w:rsidRPr="2EFD3473">
        <w:rPr>
          <w:lang w:eastAsia="en-AU"/>
        </w:rPr>
        <w:t>.</w:t>
      </w:r>
      <w:r w:rsidRPr="2EFD3473">
        <w:rPr>
          <w:lang w:eastAsia="en-AU"/>
        </w:rPr>
        <w:t xml:space="preserve"> </w:t>
      </w:r>
    </w:p>
    <w:p w14:paraId="2C1B70AB" w14:textId="09F5ACF8" w:rsidR="006D3232" w:rsidRPr="009627B0" w:rsidRDefault="006D3232" w:rsidP="006D3232">
      <w:pPr>
        <w:pStyle w:val="Heading1"/>
        <w:rPr>
          <w:color w:val="auto"/>
        </w:rPr>
      </w:pPr>
      <w:bookmarkStart w:id="27" w:name="_Toc70589079"/>
      <w:bookmarkStart w:id="28" w:name="_Toc49856767"/>
      <w:bookmarkStart w:id="29" w:name="_Toc50534266"/>
      <w:r w:rsidRPr="009627B0">
        <w:rPr>
          <w:color w:val="auto"/>
        </w:rPr>
        <w:t>Step-by-step guide: Survey opens</w:t>
      </w:r>
      <w:bookmarkEnd w:id="27"/>
    </w:p>
    <w:p w14:paraId="33BE180E" w14:textId="77777777" w:rsidR="006D3232" w:rsidRPr="009627B0" w:rsidRDefault="006D3232" w:rsidP="006D3232">
      <w:pPr>
        <w:pStyle w:val="Body"/>
        <w:rPr>
          <w:b/>
          <w:bCs/>
        </w:rPr>
      </w:pPr>
      <w:r w:rsidRPr="009627B0">
        <w:rPr>
          <w:b/>
          <w:bCs/>
        </w:rPr>
        <w:t xml:space="preserve">Launch the survey </w:t>
      </w:r>
    </w:p>
    <w:p w14:paraId="1EAD92F3" w14:textId="77777777" w:rsidR="006D3232" w:rsidRPr="009627B0" w:rsidRDefault="006D3232" w:rsidP="006D3232">
      <w:pPr>
        <w:pStyle w:val="Body"/>
      </w:pPr>
      <w:r w:rsidRPr="009627B0">
        <w:t xml:space="preserve">Have a senior leader launch the survey with an all-staff email supported by any other campaign activities you have planned. </w:t>
      </w:r>
    </w:p>
    <w:p w14:paraId="03EB4128" w14:textId="77777777" w:rsidR="006D3232" w:rsidRPr="009627B0" w:rsidRDefault="006D3232" w:rsidP="006D3232">
      <w:pPr>
        <w:pStyle w:val="Body"/>
        <w:rPr>
          <w:b/>
          <w:bCs/>
        </w:rPr>
      </w:pPr>
      <w:r w:rsidRPr="009627B0">
        <w:rPr>
          <w:b/>
          <w:bCs/>
        </w:rPr>
        <w:t>Keep the survey front of mind</w:t>
      </w:r>
    </w:p>
    <w:p w14:paraId="732F5CF1" w14:textId="77777777" w:rsidR="006D3232" w:rsidRPr="009627B0" w:rsidRDefault="006D3232" w:rsidP="006D3232">
      <w:pPr>
        <w:pStyle w:val="Body"/>
      </w:pPr>
      <w:r w:rsidRPr="009627B0">
        <w:t xml:space="preserve">Continue to promote the survey using your communication channels. </w:t>
      </w:r>
    </w:p>
    <w:p w14:paraId="7B0D7957" w14:textId="77777777" w:rsidR="006D3232" w:rsidRPr="009627B0" w:rsidRDefault="006D3232" w:rsidP="006D3232">
      <w:pPr>
        <w:pStyle w:val="Body"/>
      </w:pPr>
      <w:r w:rsidRPr="009627B0">
        <w:t>For example:</w:t>
      </w:r>
    </w:p>
    <w:p w14:paraId="4EF4FF1B" w14:textId="77777777" w:rsidR="006D3232" w:rsidRPr="009627B0" w:rsidRDefault="006D3232" w:rsidP="006D3232">
      <w:pPr>
        <w:pStyle w:val="Body"/>
        <w:numPr>
          <w:ilvl w:val="0"/>
          <w:numId w:val="12"/>
        </w:numPr>
      </w:pPr>
      <w:r w:rsidRPr="009627B0">
        <w:t xml:space="preserve">promote the survey on your intranet </w:t>
      </w:r>
    </w:p>
    <w:p w14:paraId="27EB9C6E" w14:textId="77777777" w:rsidR="006D3232" w:rsidRPr="009627B0" w:rsidRDefault="006D3232" w:rsidP="006D3232">
      <w:pPr>
        <w:pStyle w:val="Body"/>
        <w:numPr>
          <w:ilvl w:val="0"/>
          <w:numId w:val="12"/>
        </w:numPr>
      </w:pPr>
      <w:r w:rsidRPr="009627B0">
        <w:t xml:space="preserve">post a link to the survey in slack or yammer </w:t>
      </w:r>
    </w:p>
    <w:p w14:paraId="14DCF7D6" w14:textId="77777777" w:rsidR="006D3232" w:rsidRPr="009627B0" w:rsidRDefault="006D3232" w:rsidP="006D3232">
      <w:pPr>
        <w:pStyle w:val="Body"/>
        <w:numPr>
          <w:ilvl w:val="0"/>
          <w:numId w:val="12"/>
        </w:numPr>
      </w:pPr>
      <w:r w:rsidRPr="009627B0">
        <w:t xml:space="preserve">mobilise survey champions </w:t>
      </w:r>
    </w:p>
    <w:p w14:paraId="7C1C9857" w14:textId="77777777" w:rsidR="006D3232" w:rsidRPr="009627B0" w:rsidRDefault="006D3232" w:rsidP="006D3232">
      <w:pPr>
        <w:pStyle w:val="Body"/>
        <w:numPr>
          <w:ilvl w:val="0"/>
          <w:numId w:val="12"/>
        </w:numPr>
      </w:pPr>
      <w:r w:rsidRPr="009627B0">
        <w:t xml:space="preserve">update leaders on daily participation rates </w:t>
      </w:r>
    </w:p>
    <w:p w14:paraId="700D4C5F" w14:textId="77777777" w:rsidR="006D3232" w:rsidRPr="009627B0" w:rsidRDefault="006D3232" w:rsidP="006D3232">
      <w:pPr>
        <w:pStyle w:val="Body"/>
        <w:numPr>
          <w:ilvl w:val="0"/>
          <w:numId w:val="12"/>
        </w:numPr>
      </w:pPr>
      <w:r w:rsidRPr="009627B0">
        <w:t>reinforce the importance of the survey</w:t>
      </w:r>
    </w:p>
    <w:p w14:paraId="4937C1A3" w14:textId="37307A35" w:rsidR="006D3232" w:rsidRPr="009627B0" w:rsidRDefault="006D3232" w:rsidP="006D3232">
      <w:pPr>
        <w:pStyle w:val="Body"/>
        <w:numPr>
          <w:ilvl w:val="0"/>
          <w:numId w:val="12"/>
        </w:numPr>
      </w:pPr>
      <w:r w:rsidRPr="009627B0">
        <w:t>send a reminder email before the survey closes</w:t>
      </w:r>
      <w:r w:rsidR="00C52CCD">
        <w:t>.</w:t>
      </w:r>
      <w:r w:rsidRPr="009627B0">
        <w:t xml:space="preserve"> </w:t>
      </w:r>
    </w:p>
    <w:p w14:paraId="7B0C5E0E" w14:textId="489ED6B8" w:rsidR="006D3232" w:rsidRPr="009627B0" w:rsidRDefault="006D3232" w:rsidP="006D3232">
      <w:pPr>
        <w:pStyle w:val="Heading1"/>
        <w:rPr>
          <w:color w:val="auto"/>
        </w:rPr>
      </w:pPr>
      <w:bookmarkStart w:id="30" w:name="_Toc70589080"/>
      <w:bookmarkStart w:id="31" w:name="_Toc49856768"/>
      <w:bookmarkStart w:id="32" w:name="_Toc50534267"/>
      <w:bookmarkEnd w:id="28"/>
      <w:bookmarkEnd w:id="29"/>
      <w:r w:rsidRPr="009627B0">
        <w:rPr>
          <w:color w:val="auto"/>
        </w:rPr>
        <w:t>Step-by-step guide: Survey closes</w:t>
      </w:r>
      <w:bookmarkEnd w:id="30"/>
    </w:p>
    <w:bookmarkEnd w:id="31"/>
    <w:bookmarkEnd w:id="32"/>
    <w:p w14:paraId="2481491B" w14:textId="77777777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0"/>
        </w:numPr>
        <w:spacing w:before="0" w:after="160" w:line="259" w:lineRule="auto"/>
        <w:ind w:left="357" w:hanging="357"/>
        <w:rPr>
          <w:b/>
          <w:bCs/>
          <w:lang w:eastAsia="en-AU"/>
        </w:rPr>
      </w:pPr>
      <w:r w:rsidRPr="009627B0">
        <w:rPr>
          <w:b/>
          <w:bCs/>
          <w:lang w:eastAsia="en-AU"/>
        </w:rPr>
        <w:t>Thank your employees</w:t>
      </w:r>
    </w:p>
    <w:p w14:paraId="0EDE5AC4" w14:textId="77777777" w:rsidR="006D3232" w:rsidRPr="009627B0" w:rsidRDefault="006D3232" w:rsidP="006D3232">
      <w:pPr>
        <w:pStyle w:val="Body"/>
        <w:rPr>
          <w:lang w:eastAsia="en-AU"/>
        </w:rPr>
      </w:pPr>
      <w:r w:rsidRPr="009627B0">
        <w:rPr>
          <w:lang w:eastAsia="en-AU"/>
        </w:rPr>
        <w:t xml:space="preserve">Send an all-staff email thanking everyone for participating in the survey and advising that it has closed. You should also include key messages about what the next steps will be. </w:t>
      </w:r>
    </w:p>
    <w:p w14:paraId="034CCF66" w14:textId="77777777" w:rsidR="006D3232" w:rsidRPr="009627B0" w:rsidRDefault="006D3232" w:rsidP="006D3232">
      <w:pPr>
        <w:pStyle w:val="TableBullet1"/>
        <w:keepNext w:val="0"/>
        <w:keepLines w:val="0"/>
        <w:numPr>
          <w:ilvl w:val="0"/>
          <w:numId w:val="0"/>
        </w:numPr>
        <w:spacing w:before="0" w:after="160" w:line="259" w:lineRule="auto"/>
        <w:ind w:left="357" w:hanging="357"/>
        <w:rPr>
          <w:b/>
          <w:bCs/>
          <w:lang w:eastAsia="en-AU"/>
        </w:rPr>
      </w:pPr>
      <w:r w:rsidRPr="009627B0">
        <w:rPr>
          <w:b/>
          <w:bCs/>
          <w:lang w:eastAsia="en-AU"/>
        </w:rPr>
        <w:t>Share the results and action plan</w:t>
      </w:r>
    </w:p>
    <w:p w14:paraId="34BD2664" w14:textId="77777777" w:rsidR="006D3232" w:rsidRPr="009627B0" w:rsidRDefault="006D3232" w:rsidP="006D3232">
      <w:pPr>
        <w:pStyle w:val="Body"/>
        <w:rPr>
          <w:lang w:eastAsia="en-AU"/>
        </w:rPr>
      </w:pPr>
      <w:r w:rsidRPr="009627B0">
        <w:rPr>
          <w:lang w:eastAsia="en-AU"/>
        </w:rPr>
        <w:lastRenderedPageBreak/>
        <w:t xml:space="preserve">Let your employees know when they will receive the survey results and what meaningful actions your organisation will take in response.  </w:t>
      </w:r>
      <w:bookmarkStart w:id="33" w:name="_Toc49856769"/>
      <w:bookmarkStart w:id="34" w:name="_Toc50534268"/>
    </w:p>
    <w:p w14:paraId="577695DB" w14:textId="77777777" w:rsidR="006D3232" w:rsidRPr="009627B0" w:rsidRDefault="006D3232" w:rsidP="006D3232">
      <w:pPr>
        <w:pStyle w:val="Heading2"/>
        <w:rPr>
          <w:color w:val="auto"/>
        </w:rPr>
      </w:pPr>
      <w:bookmarkStart w:id="35" w:name="_Toc70589081"/>
      <w:r w:rsidRPr="009627B0">
        <w:rPr>
          <w:color w:val="auto"/>
        </w:rPr>
        <w:t>Where can I get more information?</w:t>
      </w:r>
      <w:bookmarkEnd w:id="33"/>
      <w:bookmarkEnd w:id="34"/>
      <w:bookmarkEnd w:id="35"/>
      <w:r w:rsidRPr="009627B0">
        <w:rPr>
          <w:color w:val="auto"/>
        </w:rPr>
        <w:t xml:space="preserve"> </w:t>
      </w:r>
    </w:p>
    <w:p w14:paraId="1393C7C2" w14:textId="67DDFA92" w:rsidR="00382A53" w:rsidRPr="009627B0" w:rsidRDefault="25C1CDF5" w:rsidP="002323BC">
      <w:r>
        <w:t xml:space="preserve">If you have further questions about the </w:t>
      </w:r>
      <w:r w:rsidR="000F28E8">
        <w:t>survey</w:t>
      </w:r>
      <w:r>
        <w:t xml:space="preserve">, please contact the Commission for Gender Equality in the Public Sector on </w:t>
      </w:r>
      <w:hyperlink r:id="rId13">
        <w:r w:rsidRPr="2EFD3473">
          <w:rPr>
            <w:rStyle w:val="Hyperlink"/>
            <w:rFonts w:eastAsia="Times New Roman"/>
            <w:color w:val="auto"/>
            <w:lang w:eastAsia="en-AU"/>
          </w:rPr>
          <w:t>enquiries@genderequalitycommission.vic.gov.au</w:t>
        </w:r>
      </w:hyperlink>
      <w:r w:rsidRPr="2EFD3473">
        <w:rPr>
          <w:rFonts w:eastAsia="Times New Roman"/>
          <w:lang w:eastAsia="en-AU"/>
        </w:rPr>
        <w:t>.</w:t>
      </w:r>
    </w:p>
    <w:sectPr w:rsidR="00382A53" w:rsidRPr="009627B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9054" w14:textId="77777777" w:rsidR="00792F28" w:rsidRDefault="00792F28" w:rsidP="006D3232">
      <w:pPr>
        <w:spacing w:after="0" w:line="240" w:lineRule="auto"/>
      </w:pPr>
      <w:r>
        <w:separator/>
      </w:r>
    </w:p>
  </w:endnote>
  <w:endnote w:type="continuationSeparator" w:id="0">
    <w:p w14:paraId="210EFFDB" w14:textId="77777777" w:rsidR="00792F28" w:rsidRDefault="00792F28" w:rsidP="006D3232">
      <w:pPr>
        <w:spacing w:after="0" w:line="240" w:lineRule="auto"/>
      </w:pPr>
      <w:r>
        <w:continuationSeparator/>
      </w:r>
    </w:p>
  </w:endnote>
  <w:endnote w:type="continuationNotice" w:id="1">
    <w:p w14:paraId="05AC23F2" w14:textId="77777777" w:rsidR="00792F28" w:rsidRDefault="00792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3682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54730" w14:textId="3D1BFEE8" w:rsidR="00DE57DB" w:rsidRDefault="00DE57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D70BB" w14:textId="2DFA8461" w:rsidR="006D3232" w:rsidRDefault="006D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AD1F0" w14:textId="77777777" w:rsidR="00792F28" w:rsidRDefault="00792F28" w:rsidP="006D3232">
      <w:pPr>
        <w:spacing w:after="0" w:line="240" w:lineRule="auto"/>
      </w:pPr>
      <w:r>
        <w:separator/>
      </w:r>
    </w:p>
  </w:footnote>
  <w:footnote w:type="continuationSeparator" w:id="0">
    <w:p w14:paraId="38DF8A17" w14:textId="77777777" w:rsidR="00792F28" w:rsidRDefault="00792F28" w:rsidP="006D3232">
      <w:pPr>
        <w:spacing w:after="0" w:line="240" w:lineRule="auto"/>
      </w:pPr>
      <w:r>
        <w:continuationSeparator/>
      </w:r>
    </w:p>
  </w:footnote>
  <w:footnote w:type="continuationNotice" w:id="1">
    <w:p w14:paraId="0356B2B3" w14:textId="77777777" w:rsidR="00792F28" w:rsidRDefault="00792F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3EC4" w14:textId="1D9BE80B" w:rsidR="00FF2C0D" w:rsidRDefault="00FF2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2812"/>
    <w:multiLevelType w:val="hybridMultilevel"/>
    <w:tmpl w:val="DE6C6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54D7"/>
    <w:multiLevelType w:val="hybridMultilevel"/>
    <w:tmpl w:val="4030E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01E3C">
      <w:numFmt w:val="bullet"/>
      <w:lvlText w:val="•"/>
      <w:lvlJc w:val="left"/>
      <w:pPr>
        <w:ind w:left="1440" w:hanging="720"/>
      </w:pPr>
      <w:rPr>
        <w:rFonts w:ascii="VIC" w:eastAsiaTheme="minorHAnsi" w:hAnsi="VIC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13D62"/>
    <w:multiLevelType w:val="hybridMultilevel"/>
    <w:tmpl w:val="21D42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7D9B"/>
    <w:multiLevelType w:val="hybridMultilevel"/>
    <w:tmpl w:val="EEDAA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A4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02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E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6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3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0B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F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E9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3742"/>
    <w:multiLevelType w:val="hybridMultilevel"/>
    <w:tmpl w:val="5C2C9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52930"/>
    <w:multiLevelType w:val="hybridMultilevel"/>
    <w:tmpl w:val="2638769E"/>
    <w:lvl w:ilvl="0" w:tplc="1D68655C">
      <w:start w:val="1"/>
      <w:numFmt w:val="decimal"/>
      <w:lvlText w:val="%1."/>
      <w:lvlJc w:val="left"/>
      <w:pPr>
        <w:ind w:left="720" w:hanging="360"/>
      </w:pPr>
      <w:rPr>
        <w:rFonts w:ascii="VIC" w:eastAsia="VIC" w:hAnsi="VIC" w:cs="Times New Roman"/>
      </w:rPr>
    </w:lvl>
    <w:lvl w:ilvl="1" w:tplc="F23A4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02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E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6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3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0B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F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E9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D6971"/>
    <w:multiLevelType w:val="hybridMultilevel"/>
    <w:tmpl w:val="C38A4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2815"/>
    <w:multiLevelType w:val="hybridMultilevel"/>
    <w:tmpl w:val="B3568334"/>
    <w:lvl w:ilvl="0" w:tplc="1D68655C">
      <w:start w:val="1"/>
      <w:numFmt w:val="decimal"/>
      <w:lvlText w:val="%1."/>
      <w:lvlJc w:val="left"/>
      <w:pPr>
        <w:ind w:left="720" w:hanging="360"/>
      </w:pPr>
      <w:rPr>
        <w:rFonts w:ascii="VIC" w:eastAsia="VIC" w:hAnsi="VIC" w:cs="Times New Roman"/>
      </w:rPr>
    </w:lvl>
    <w:lvl w:ilvl="1" w:tplc="F23A4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02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E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6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3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0B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F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E9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F4F7B"/>
    <w:multiLevelType w:val="hybridMultilevel"/>
    <w:tmpl w:val="AF0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A4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02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E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6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3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0B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F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E9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333D6"/>
    <w:multiLevelType w:val="hybridMultilevel"/>
    <w:tmpl w:val="2638769E"/>
    <w:lvl w:ilvl="0" w:tplc="627219F6">
      <w:start w:val="1"/>
      <w:numFmt w:val="decimal"/>
      <w:lvlText w:val="%1."/>
      <w:lvlJc w:val="left"/>
      <w:pPr>
        <w:ind w:left="360" w:hanging="360"/>
      </w:pPr>
    </w:lvl>
    <w:lvl w:ilvl="1" w:tplc="49C8D1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720BC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2000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161D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538D4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2689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3E10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E272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9E2612"/>
    <w:multiLevelType w:val="hybridMultilevel"/>
    <w:tmpl w:val="8F624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329B2"/>
    <w:multiLevelType w:val="hybridMultilevel"/>
    <w:tmpl w:val="93A49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A4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02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E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6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3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0B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F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E9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F5875"/>
    <w:multiLevelType w:val="hybridMultilevel"/>
    <w:tmpl w:val="96BAF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C7B81"/>
    <w:multiLevelType w:val="hybridMultilevel"/>
    <w:tmpl w:val="B39E6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80148">
    <w:abstractNumId w:val="4"/>
  </w:num>
  <w:num w:numId="2" w16cid:durableId="842356443">
    <w:abstractNumId w:val="8"/>
  </w:num>
  <w:num w:numId="3" w16cid:durableId="1285841437">
    <w:abstractNumId w:val="14"/>
  </w:num>
  <w:num w:numId="4" w16cid:durableId="1708797333">
    <w:abstractNumId w:val="13"/>
  </w:num>
  <w:num w:numId="5" w16cid:durableId="1350569193">
    <w:abstractNumId w:val="7"/>
  </w:num>
  <w:num w:numId="6" w16cid:durableId="629944595">
    <w:abstractNumId w:val="11"/>
  </w:num>
  <w:num w:numId="7" w16cid:durableId="1549996676">
    <w:abstractNumId w:val="12"/>
  </w:num>
  <w:num w:numId="8" w16cid:durableId="1141381119">
    <w:abstractNumId w:val="9"/>
  </w:num>
  <w:num w:numId="9" w16cid:durableId="1882479624">
    <w:abstractNumId w:val="3"/>
  </w:num>
  <w:num w:numId="10" w16cid:durableId="879125003">
    <w:abstractNumId w:val="10"/>
  </w:num>
  <w:num w:numId="11" w16cid:durableId="2055502041">
    <w:abstractNumId w:val="0"/>
  </w:num>
  <w:num w:numId="12" w16cid:durableId="972447986">
    <w:abstractNumId w:val="5"/>
  </w:num>
  <w:num w:numId="13" w16cid:durableId="583144634">
    <w:abstractNumId w:val="2"/>
  </w:num>
  <w:num w:numId="14" w16cid:durableId="545067292">
    <w:abstractNumId w:val="1"/>
  </w:num>
  <w:num w:numId="15" w16cid:durableId="1682513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32"/>
    <w:rsid w:val="00035217"/>
    <w:rsid w:val="000812C8"/>
    <w:rsid w:val="000F28E8"/>
    <w:rsid w:val="00131FF6"/>
    <w:rsid w:val="00143E63"/>
    <w:rsid w:val="00162644"/>
    <w:rsid w:val="00181BD7"/>
    <w:rsid w:val="00196A1B"/>
    <w:rsid w:val="001B2091"/>
    <w:rsid w:val="001C1337"/>
    <w:rsid w:val="001D112B"/>
    <w:rsid w:val="0021439D"/>
    <w:rsid w:val="002323BC"/>
    <w:rsid w:val="002370D1"/>
    <w:rsid w:val="002602A5"/>
    <w:rsid w:val="0026728C"/>
    <w:rsid w:val="0027677F"/>
    <w:rsid w:val="00282031"/>
    <w:rsid w:val="002F3EBF"/>
    <w:rsid w:val="00301185"/>
    <w:rsid w:val="00382A53"/>
    <w:rsid w:val="003B2969"/>
    <w:rsid w:val="003C7CE4"/>
    <w:rsid w:val="003D0901"/>
    <w:rsid w:val="003D4147"/>
    <w:rsid w:val="004277F4"/>
    <w:rsid w:val="004528A1"/>
    <w:rsid w:val="00536DC2"/>
    <w:rsid w:val="00537D7C"/>
    <w:rsid w:val="00540D51"/>
    <w:rsid w:val="00543B52"/>
    <w:rsid w:val="005650D9"/>
    <w:rsid w:val="00581E6A"/>
    <w:rsid w:val="00583299"/>
    <w:rsid w:val="0058709C"/>
    <w:rsid w:val="00600463"/>
    <w:rsid w:val="00610F06"/>
    <w:rsid w:val="00640813"/>
    <w:rsid w:val="00662169"/>
    <w:rsid w:val="006858DB"/>
    <w:rsid w:val="006862B2"/>
    <w:rsid w:val="006B4F4A"/>
    <w:rsid w:val="006B7355"/>
    <w:rsid w:val="006C136B"/>
    <w:rsid w:val="006C4C24"/>
    <w:rsid w:val="006D3232"/>
    <w:rsid w:val="006D6517"/>
    <w:rsid w:val="006F6235"/>
    <w:rsid w:val="00734313"/>
    <w:rsid w:val="00760A7E"/>
    <w:rsid w:val="00792F28"/>
    <w:rsid w:val="007B2ECC"/>
    <w:rsid w:val="007C0A6A"/>
    <w:rsid w:val="007D17FA"/>
    <w:rsid w:val="007F5F75"/>
    <w:rsid w:val="00801968"/>
    <w:rsid w:val="008164A0"/>
    <w:rsid w:val="008861E5"/>
    <w:rsid w:val="008B39FA"/>
    <w:rsid w:val="00900DA9"/>
    <w:rsid w:val="00901098"/>
    <w:rsid w:val="00926F1F"/>
    <w:rsid w:val="00927BDF"/>
    <w:rsid w:val="00937579"/>
    <w:rsid w:val="00950A09"/>
    <w:rsid w:val="00957522"/>
    <w:rsid w:val="009627B0"/>
    <w:rsid w:val="00990017"/>
    <w:rsid w:val="009E1A9C"/>
    <w:rsid w:val="00A12946"/>
    <w:rsid w:val="00A16F87"/>
    <w:rsid w:val="00A30910"/>
    <w:rsid w:val="00A53233"/>
    <w:rsid w:val="00A57661"/>
    <w:rsid w:val="00AB3580"/>
    <w:rsid w:val="00AE0E3E"/>
    <w:rsid w:val="00AF2473"/>
    <w:rsid w:val="00B33CCB"/>
    <w:rsid w:val="00B9262A"/>
    <w:rsid w:val="00BB3516"/>
    <w:rsid w:val="00BC7A91"/>
    <w:rsid w:val="00C11DA0"/>
    <w:rsid w:val="00C52CCD"/>
    <w:rsid w:val="00C77183"/>
    <w:rsid w:val="00CB31AE"/>
    <w:rsid w:val="00CD0B08"/>
    <w:rsid w:val="00CD4A23"/>
    <w:rsid w:val="00CE12F8"/>
    <w:rsid w:val="00CF55AC"/>
    <w:rsid w:val="00CF560C"/>
    <w:rsid w:val="00D03285"/>
    <w:rsid w:val="00D20102"/>
    <w:rsid w:val="00D20135"/>
    <w:rsid w:val="00D324DF"/>
    <w:rsid w:val="00D51626"/>
    <w:rsid w:val="00D65997"/>
    <w:rsid w:val="00DC7975"/>
    <w:rsid w:val="00DE57DB"/>
    <w:rsid w:val="00DE7072"/>
    <w:rsid w:val="00E42122"/>
    <w:rsid w:val="00E47E63"/>
    <w:rsid w:val="00E5164A"/>
    <w:rsid w:val="00E9752E"/>
    <w:rsid w:val="00EA3E93"/>
    <w:rsid w:val="00EB7E66"/>
    <w:rsid w:val="00ED1AAA"/>
    <w:rsid w:val="00EE705A"/>
    <w:rsid w:val="00F01ED0"/>
    <w:rsid w:val="00F06071"/>
    <w:rsid w:val="00F371F0"/>
    <w:rsid w:val="00F75758"/>
    <w:rsid w:val="00F93B96"/>
    <w:rsid w:val="00FB1BD1"/>
    <w:rsid w:val="00FE4409"/>
    <w:rsid w:val="00FF2C0D"/>
    <w:rsid w:val="0168261A"/>
    <w:rsid w:val="05B64FFD"/>
    <w:rsid w:val="0610153D"/>
    <w:rsid w:val="0656DBE1"/>
    <w:rsid w:val="08CF71E7"/>
    <w:rsid w:val="0A2659B6"/>
    <w:rsid w:val="0B19D7DF"/>
    <w:rsid w:val="0F1B5A06"/>
    <w:rsid w:val="124F1827"/>
    <w:rsid w:val="1303ED92"/>
    <w:rsid w:val="1636B3DD"/>
    <w:rsid w:val="19299081"/>
    <w:rsid w:val="193424A8"/>
    <w:rsid w:val="194ED34E"/>
    <w:rsid w:val="1D6A70D5"/>
    <w:rsid w:val="1DCE3DBA"/>
    <w:rsid w:val="1E9438E2"/>
    <w:rsid w:val="21060B72"/>
    <w:rsid w:val="231AB527"/>
    <w:rsid w:val="24E992B2"/>
    <w:rsid w:val="25C1CDF5"/>
    <w:rsid w:val="266D9798"/>
    <w:rsid w:val="269C289D"/>
    <w:rsid w:val="27F7A83B"/>
    <w:rsid w:val="281BB9ED"/>
    <w:rsid w:val="2929980F"/>
    <w:rsid w:val="2A290332"/>
    <w:rsid w:val="2D33101C"/>
    <w:rsid w:val="2DB667E3"/>
    <w:rsid w:val="2EFD3473"/>
    <w:rsid w:val="2F61596C"/>
    <w:rsid w:val="3001C603"/>
    <w:rsid w:val="3197471C"/>
    <w:rsid w:val="31AA2C94"/>
    <w:rsid w:val="34B91AF6"/>
    <w:rsid w:val="381A8F38"/>
    <w:rsid w:val="3893735A"/>
    <w:rsid w:val="3BD694AE"/>
    <w:rsid w:val="3C98EF02"/>
    <w:rsid w:val="3E43AA22"/>
    <w:rsid w:val="3F60CBA4"/>
    <w:rsid w:val="3FDF7A83"/>
    <w:rsid w:val="42224092"/>
    <w:rsid w:val="428C12AB"/>
    <w:rsid w:val="45453549"/>
    <w:rsid w:val="465D0220"/>
    <w:rsid w:val="47E3249A"/>
    <w:rsid w:val="486326CF"/>
    <w:rsid w:val="4AA5441B"/>
    <w:rsid w:val="4BB65D52"/>
    <w:rsid w:val="4C3C0EC9"/>
    <w:rsid w:val="4C3EAAA0"/>
    <w:rsid w:val="4CCE3D74"/>
    <w:rsid w:val="4CFB07EF"/>
    <w:rsid w:val="4D7C70CF"/>
    <w:rsid w:val="4F80E755"/>
    <w:rsid w:val="4F9158DE"/>
    <w:rsid w:val="50CD1AC1"/>
    <w:rsid w:val="54072EB2"/>
    <w:rsid w:val="54F189DB"/>
    <w:rsid w:val="557776CD"/>
    <w:rsid w:val="56022F27"/>
    <w:rsid w:val="568FB244"/>
    <w:rsid w:val="58AFAA0B"/>
    <w:rsid w:val="5B9C1336"/>
    <w:rsid w:val="5DCCEF8D"/>
    <w:rsid w:val="5EB9495B"/>
    <w:rsid w:val="5EE6CB9A"/>
    <w:rsid w:val="5FA165CE"/>
    <w:rsid w:val="60B9FA36"/>
    <w:rsid w:val="6371F1AA"/>
    <w:rsid w:val="63E0F3DE"/>
    <w:rsid w:val="680A8458"/>
    <w:rsid w:val="682A774B"/>
    <w:rsid w:val="6834B2AB"/>
    <w:rsid w:val="68A65180"/>
    <w:rsid w:val="69248077"/>
    <w:rsid w:val="69E53185"/>
    <w:rsid w:val="6A4184ED"/>
    <w:rsid w:val="6CBDE6B6"/>
    <w:rsid w:val="6DE1C83B"/>
    <w:rsid w:val="6F04443C"/>
    <w:rsid w:val="70EBDD18"/>
    <w:rsid w:val="720C12A1"/>
    <w:rsid w:val="7646CB7E"/>
    <w:rsid w:val="778B5C40"/>
    <w:rsid w:val="78B18B68"/>
    <w:rsid w:val="7964D459"/>
    <w:rsid w:val="7BCA3795"/>
    <w:rsid w:val="7DEF3E46"/>
    <w:rsid w:val="7E7A7CF4"/>
    <w:rsid w:val="7FA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3D0F3"/>
  <w15:chartTrackingRefBased/>
  <w15:docId w15:val="{12AEF7A1-75F3-4C57-BCAA-E6A9C4A0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32"/>
    <w:rPr>
      <w:rFonts w:ascii="VIC" w:eastAsia="VIC" w:hAnsi="VIC" w:cs="Times New Roman"/>
    </w:rPr>
  </w:style>
  <w:style w:type="paragraph" w:styleId="Heading1">
    <w:name w:val="heading 1"/>
    <w:link w:val="Heading1Char"/>
    <w:uiPriority w:val="9"/>
    <w:qFormat/>
    <w:rsid w:val="006D3232"/>
    <w:pPr>
      <w:keepNext/>
      <w:keepLines/>
      <w:spacing w:before="360" w:after="180" w:line="288" w:lineRule="auto"/>
      <w:outlineLvl w:val="0"/>
    </w:pPr>
    <w:rPr>
      <w:rFonts w:asciiTheme="majorHAnsi" w:eastAsia="VIC" w:hAnsiTheme="majorHAnsi" w:cstheme="majorBidi"/>
      <w:color w:val="00573F" w:themeColor="text2"/>
      <w:sz w:val="36"/>
      <w:szCs w:val="36"/>
    </w:rPr>
  </w:style>
  <w:style w:type="paragraph" w:styleId="Heading2">
    <w:name w:val="heading 2"/>
    <w:link w:val="Heading2Char"/>
    <w:uiPriority w:val="9"/>
    <w:qFormat/>
    <w:rsid w:val="006D3232"/>
    <w:pPr>
      <w:keepNext/>
      <w:keepLines/>
      <w:spacing w:before="320" w:line="288" w:lineRule="auto"/>
      <w:outlineLvl w:val="1"/>
    </w:pPr>
    <w:rPr>
      <w:rFonts w:ascii="VIC SemiBold" w:eastAsia="VIC" w:hAnsi="VIC SemiBold" w:cstheme="majorBidi"/>
      <w:color w:val="53565A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232"/>
    <w:rPr>
      <w:rFonts w:asciiTheme="majorHAnsi" w:eastAsia="VIC" w:hAnsiTheme="majorHAnsi" w:cstheme="majorBidi"/>
      <w:color w:val="00573F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D3232"/>
    <w:rPr>
      <w:rFonts w:ascii="VIC SemiBold" w:eastAsia="VIC" w:hAnsi="VIC SemiBold" w:cstheme="majorBidi"/>
      <w:color w:val="53565A"/>
      <w:sz w:val="30"/>
      <w:szCs w:val="32"/>
    </w:rPr>
  </w:style>
  <w:style w:type="character" w:customStyle="1" w:styleId="BodyChar">
    <w:name w:val="Body Char"/>
    <w:basedOn w:val="DefaultParagraphFont"/>
    <w:link w:val="Body"/>
    <w:rsid w:val="006D3232"/>
  </w:style>
  <w:style w:type="paragraph" w:styleId="ListParagraph">
    <w:name w:val="List Paragraph"/>
    <w:basedOn w:val="Normal"/>
    <w:uiPriority w:val="34"/>
    <w:qFormat/>
    <w:rsid w:val="006D3232"/>
    <w:pPr>
      <w:ind w:left="567" w:hanging="567"/>
      <w:contextualSpacing/>
    </w:pPr>
  </w:style>
  <w:style w:type="paragraph" w:customStyle="1" w:styleId="TableBullet1">
    <w:name w:val="Table Bullet 1"/>
    <w:basedOn w:val="Normal"/>
    <w:qFormat/>
    <w:rsid w:val="006D3232"/>
    <w:pPr>
      <w:keepNext/>
      <w:keepLines/>
      <w:numPr>
        <w:numId w:val="1"/>
      </w:numPr>
      <w:spacing w:before="120" w:after="120" w:line="288" w:lineRule="auto"/>
      <w:ind w:left="357" w:hanging="357"/>
    </w:pPr>
  </w:style>
  <w:style w:type="paragraph" w:customStyle="1" w:styleId="Body">
    <w:name w:val="Body"/>
    <w:basedOn w:val="Normal"/>
    <w:link w:val="BodyChar"/>
    <w:qFormat/>
    <w:rsid w:val="006D3232"/>
    <w:pPr>
      <w:keepNext/>
      <w:keepLines/>
      <w:spacing w:line="288" w:lineRule="auto"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qFormat/>
    <w:rsid w:val="006D3232"/>
    <w:rPr>
      <w:color w:val="00573F"/>
      <w:u w:val="single"/>
    </w:rPr>
  </w:style>
  <w:style w:type="character" w:styleId="Strong">
    <w:name w:val="Strong"/>
    <w:uiPriority w:val="22"/>
    <w:qFormat/>
    <w:rsid w:val="006D3232"/>
    <w:rPr>
      <w:rFonts w:asciiTheme="majorHAnsi" w:hAnsiTheme="majorHAnsi"/>
    </w:rPr>
  </w:style>
  <w:style w:type="paragraph" w:customStyle="1" w:styleId="TO3">
    <w:name w:val="TO3"/>
    <w:basedOn w:val="Normal"/>
    <w:qFormat/>
    <w:rsid w:val="006D3232"/>
    <w:rPr>
      <w:rFonts w:asciiTheme="minorHAnsi" w:eastAsiaTheme="minorHAnsi" w:hAnsiTheme="minorHAnsi" w:cstheme="minorBidi"/>
    </w:rPr>
  </w:style>
  <w:style w:type="paragraph" w:customStyle="1" w:styleId="TableChartBody">
    <w:name w:val="Table/Chart Body"/>
    <w:basedOn w:val="Normal"/>
    <w:qFormat/>
    <w:rsid w:val="006D3232"/>
    <w:pPr>
      <w:spacing w:after="0" w:line="288" w:lineRule="auto"/>
    </w:pPr>
    <w:rPr>
      <w:rFonts w:asciiTheme="minorHAnsi" w:eastAsiaTheme="minorHAnsi" w:hAnsiTheme="minorHAnsi" w:cstheme="minorBidi"/>
    </w:rPr>
  </w:style>
  <w:style w:type="paragraph" w:customStyle="1" w:styleId="TableChartHeading">
    <w:name w:val="Table/Chart Heading"/>
    <w:basedOn w:val="Normal"/>
    <w:qFormat/>
    <w:rsid w:val="006D3232"/>
    <w:pPr>
      <w:spacing w:after="0" w:line="288" w:lineRule="auto"/>
    </w:pPr>
    <w:rPr>
      <w:rFonts w:asciiTheme="minorHAnsi" w:eastAsiaTheme="minorHAnsi" w:hAnsiTheme="minorHAnsi" w:cstheme="minorBidi"/>
      <w:b/>
    </w:rPr>
  </w:style>
  <w:style w:type="paragraph" w:customStyle="1" w:styleId="BranchTitle">
    <w:name w:val="Branch Title"/>
    <w:basedOn w:val="Normal"/>
    <w:next w:val="Normal"/>
    <w:qFormat/>
    <w:rsid w:val="006D3232"/>
    <w:pPr>
      <w:spacing w:before="280" w:after="280" w:line="288" w:lineRule="auto"/>
      <w:outlineLvl w:val="0"/>
    </w:pPr>
    <w:rPr>
      <w:rFonts w:ascii="VIC SemiBold" w:eastAsiaTheme="minorHAnsi" w:hAnsi="VIC SemiBold" w:cstheme="minorBidi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6D3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232"/>
    <w:rPr>
      <w:rFonts w:ascii="VIC" w:eastAsia="VIC" w:hAnsi="VIC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32"/>
    <w:rPr>
      <w:rFonts w:ascii="Segoe UI" w:eastAsia="VIC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232"/>
    <w:rPr>
      <w:rFonts w:ascii="VIC" w:eastAsia="VIC" w:hAnsi="VIC" w:cs="Times New Roman"/>
    </w:rPr>
  </w:style>
  <w:style w:type="paragraph" w:styleId="Footer">
    <w:name w:val="footer"/>
    <w:basedOn w:val="Normal"/>
    <w:link w:val="FooterChar"/>
    <w:uiPriority w:val="99"/>
    <w:unhideWhenUsed/>
    <w:rsid w:val="006D3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232"/>
    <w:rPr>
      <w:rFonts w:ascii="VIC" w:eastAsia="VIC" w:hAnsi="VIC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B31AE"/>
    <w:rPr>
      <w:color w:val="642667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0D1"/>
    <w:rPr>
      <w:rFonts w:ascii="VIC" w:eastAsia="VIC" w:hAnsi="VIC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1FF6"/>
    <w:pPr>
      <w:spacing w:after="0" w:line="240" w:lineRule="auto"/>
    </w:pPr>
    <w:rPr>
      <w:rFonts w:ascii="VIC" w:eastAsia="VIC" w:hAnsi="V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quiries@genderequalitycommission.vic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psc.vic.gov.au/privac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6" ma:contentTypeDescription="Create a new document." ma:contentTypeScope="" ma:versionID="a84452663b352aab70d8919d62b23749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bec87a90878aeecb994ddb9ee8637ae3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Props1.xml><?xml version="1.0" encoding="utf-8"?>
<ds:datastoreItem xmlns:ds="http://schemas.openxmlformats.org/officeDocument/2006/customXml" ds:itemID="{47684163-5682-4711-A51C-FB08736CC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A9D8B-495E-4798-AF20-FE61E7773A84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88579393-184E-4344-B015-46A869A2D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79BDA-D428-4AF6-8D33-3E62243BE5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DFB0F2-4E40-45A4-B1BE-E64F97E3CAEF}">
  <ds:schemaRefs>
    <ds:schemaRef ds:uri="http://purl.org/dc/elements/1.1/"/>
    <ds:schemaRef ds:uri="27cb37dd-16a1-4d7b-8276-5c0e4168f63b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50f00e27-c35f-46eb-9301-c9e2bd24673f"/>
    <ds:schemaRef ds:uri="http://schemas.microsoft.com/office/infopath/2007/PartnerControls"/>
    <ds:schemaRef ds:uri="http://schemas.openxmlformats.org/package/2006/metadata/core-properties"/>
    <ds:schemaRef ds:uri="5ce0f2b5-5be5-4508-bce9-d7011ece065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Links>
    <vt:vector size="12" baseType="variant">
      <vt:variant>
        <vt:i4>4653158</vt:i4>
      </vt:variant>
      <vt:variant>
        <vt:i4>3</vt:i4>
      </vt:variant>
      <vt:variant>
        <vt:i4>0</vt:i4>
      </vt:variant>
      <vt:variant>
        <vt:i4>5</vt:i4>
      </vt:variant>
      <vt:variant>
        <vt:lpwstr>mailto:enquiries@genderequalitycommission.vic.gov.au</vt:lpwstr>
      </vt:variant>
      <vt:variant>
        <vt:lpwstr/>
      </vt:variant>
      <vt:variant>
        <vt:i4>25</vt:i4>
      </vt:variant>
      <vt:variant>
        <vt:i4>0</vt:i4>
      </vt:variant>
      <vt:variant>
        <vt:i4>0</vt:i4>
      </vt:variant>
      <vt:variant>
        <vt:i4>5</vt:i4>
      </vt:variant>
      <vt:variant>
        <vt:lpwstr>https://vpsc.vic.gov.au/privacy/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Ives (VPSC)</dc:creator>
  <cp:keywords/>
  <dc:description/>
  <cp:lastModifiedBy>Stacey Star (CGEPS)</cp:lastModifiedBy>
  <cp:revision>2</cp:revision>
  <dcterms:created xsi:type="dcterms:W3CDTF">2025-04-07T04:51:00Z</dcterms:created>
  <dcterms:modified xsi:type="dcterms:W3CDTF">2025-04-07T04:51:00Z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2021-05-02T22:02:10Z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d33e6de7-cdff-4ff1-bfa3-99abbf12665e</vt:lpwstr>
  </property>
  <property fmtid="{D5CDD505-2E9C-101B-9397-08002B2CF9AE}" pid="8" name="MSIP_Label_7158ebbd-6c5e-441f-bfc9-4eb8c11e3978_ContentBits">
    <vt:lpwstr>2</vt:lpwstr>
  </property>
  <property fmtid="{D5CDD505-2E9C-101B-9397-08002B2CF9AE}" pid="9" name="ContentTypeId">
    <vt:lpwstr>0x010100555DF7B4C3396B4DA0F821E47AA844D3</vt:lpwstr>
  </property>
  <property fmtid="{D5CDD505-2E9C-101B-9397-08002B2CF9AE}" pid="10" name="GrammarlyDocumentId">
    <vt:lpwstr>4fe850e0bad105e713c3ec7e8288ce5860ccb24a53be8ff90720443f4a2fe2f7</vt:lpwstr>
  </property>
  <property fmtid="{D5CDD505-2E9C-101B-9397-08002B2CF9AE}" pid="11" name="MediaServiceImageTags">
    <vt:lpwstr/>
  </property>
</Properties>
</file>