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ED12" w14:textId="4A81DEE5" w:rsidR="00D64744" w:rsidRDefault="00392C61" w:rsidP="00D64744">
      <w:pPr>
        <w:pStyle w:val="Heading2"/>
      </w:pPr>
      <w:r w:rsidRPr="00392C61">
        <w:t xml:space="preserve">People matter survey for </w:t>
      </w:r>
      <w:r w:rsidR="0035269D">
        <w:t>gender equality reporting</w:t>
      </w:r>
      <w:r w:rsidRPr="00392C61">
        <w:t xml:space="preserve"> </w:t>
      </w:r>
      <w:r w:rsidR="0035269D">
        <w:t>2025</w:t>
      </w:r>
    </w:p>
    <w:p w14:paraId="0544B93D" w14:textId="77777777" w:rsidR="00D64744" w:rsidRDefault="00D64744" w:rsidP="00D64744">
      <w:pPr>
        <w:pStyle w:val="Heading3"/>
      </w:pPr>
      <w:r>
        <w:t xml:space="preserve">Speaking notes:  3-5 minutes  </w:t>
      </w:r>
    </w:p>
    <w:p w14:paraId="388309A4" w14:textId="77777777" w:rsidR="00D64744" w:rsidRDefault="00D64744" w:rsidP="00D64744">
      <w:pPr>
        <w:pStyle w:val="Heading3"/>
      </w:pPr>
      <w:r>
        <w:t>For: Senior Leaders, Executives and Managers</w:t>
      </w:r>
    </w:p>
    <w:p w14:paraId="1615A010" w14:textId="77777777" w:rsidR="00D64744" w:rsidRPr="00700FE8" w:rsidRDefault="00D64744" w:rsidP="00D64744">
      <w:pPr>
        <w:pStyle w:val="Heading3"/>
      </w:pPr>
      <w:r>
        <w:t>To: All staff</w:t>
      </w:r>
    </w:p>
    <w:tbl>
      <w:tblPr>
        <w:tblW w:w="0" w:type="auto"/>
        <w:tblCellMar>
          <w:top w:w="57" w:type="dxa"/>
          <w:left w:w="57" w:type="dxa"/>
          <w:bottom w:w="57" w:type="dxa"/>
          <w:right w:w="57" w:type="dxa"/>
        </w:tblCellMar>
        <w:tblLook w:val="04A0" w:firstRow="1" w:lastRow="0" w:firstColumn="1" w:lastColumn="0" w:noHBand="0" w:noVBand="1"/>
      </w:tblPr>
      <w:tblGrid>
        <w:gridCol w:w="2827"/>
        <w:gridCol w:w="6243"/>
      </w:tblGrid>
      <w:tr w:rsidR="00D64744" w14:paraId="22258E04" w14:textId="77777777" w:rsidTr="4A9FC9D4">
        <w:trPr>
          <w:tblHeader/>
        </w:trPr>
        <w:tc>
          <w:tcPr>
            <w:tcW w:w="2827" w:type="dxa"/>
            <w:tcBorders>
              <w:top w:val="nil"/>
              <w:left w:val="nil"/>
              <w:bottom w:val="single" w:sz="18" w:space="0" w:color="007B4B" w:themeColor="accent1"/>
              <w:right w:val="nil"/>
            </w:tcBorders>
            <w:tcMar>
              <w:top w:w="170" w:type="dxa"/>
              <w:left w:w="113" w:type="dxa"/>
              <w:bottom w:w="170" w:type="dxa"/>
              <w:right w:w="227" w:type="dxa"/>
            </w:tcMar>
            <w:hideMark/>
          </w:tcPr>
          <w:p w14:paraId="56AA443A" w14:textId="77777777" w:rsidR="00D64744" w:rsidRDefault="00D64744" w:rsidP="00621911">
            <w:pPr>
              <w:pStyle w:val="TableChartHeading"/>
              <w:spacing w:line="240" w:lineRule="auto"/>
              <w:rPr>
                <w:rFonts w:ascii="VIC SemiBold" w:hAnsi="VIC SemiBold"/>
                <w:b w:val="0"/>
                <w:bCs/>
              </w:rPr>
            </w:pPr>
            <w:r>
              <w:rPr>
                <w:rFonts w:ascii="VIC SemiBold" w:hAnsi="VIC SemiBold"/>
                <w:b w:val="0"/>
                <w:bCs/>
              </w:rPr>
              <w:t>Themes</w:t>
            </w:r>
          </w:p>
        </w:tc>
        <w:tc>
          <w:tcPr>
            <w:tcW w:w="6243" w:type="dxa"/>
            <w:tcBorders>
              <w:top w:val="nil"/>
              <w:left w:val="nil"/>
              <w:bottom w:val="single" w:sz="18" w:space="0" w:color="007B4B" w:themeColor="accent1"/>
              <w:right w:val="nil"/>
            </w:tcBorders>
            <w:tcMar>
              <w:top w:w="170" w:type="dxa"/>
              <w:left w:w="113" w:type="dxa"/>
              <w:bottom w:w="170" w:type="dxa"/>
              <w:right w:w="227" w:type="dxa"/>
            </w:tcMar>
            <w:hideMark/>
          </w:tcPr>
          <w:p w14:paraId="5D084AAC" w14:textId="77777777" w:rsidR="00D64744" w:rsidRPr="00785AA0" w:rsidRDefault="00D64744" w:rsidP="00621911">
            <w:pPr>
              <w:pStyle w:val="TableChartHeading"/>
              <w:spacing w:line="240" w:lineRule="auto"/>
              <w:rPr>
                <w:rFonts w:ascii="VIC SemiBold" w:hAnsi="VIC SemiBold"/>
                <w:b w:val="0"/>
              </w:rPr>
            </w:pPr>
            <w:r w:rsidRPr="32621175">
              <w:rPr>
                <w:rFonts w:ascii="VIC SemiBold" w:hAnsi="VIC SemiBold"/>
                <w:b w:val="0"/>
              </w:rPr>
              <w:t>Suggested messages</w:t>
            </w:r>
          </w:p>
        </w:tc>
      </w:tr>
      <w:tr w:rsidR="00D64744" w14:paraId="5E465705"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hideMark/>
          </w:tcPr>
          <w:p w14:paraId="15C5E7A7" w14:textId="77777777" w:rsidR="00D64744" w:rsidRDefault="00D64744" w:rsidP="00621911">
            <w:pPr>
              <w:pStyle w:val="TableChartBody"/>
              <w:spacing w:line="264" w:lineRule="auto"/>
            </w:pPr>
            <w:r>
              <w:t>Survey timing</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6454ADFC" w14:textId="7472DC43" w:rsidR="00D64744" w:rsidRPr="00A26603" w:rsidRDefault="00D64744" w:rsidP="00621911">
            <w:pPr>
              <w:pStyle w:val="TableChartBody"/>
              <w:spacing w:after="160"/>
            </w:pPr>
            <w:r>
              <w:t xml:space="preserve">The </w:t>
            </w:r>
            <w:bookmarkStart w:id="0" w:name="_Toc69384528"/>
            <w:bookmarkStart w:id="1" w:name="_Toc69384616"/>
            <w:bookmarkStart w:id="2" w:name="_Toc69384868"/>
            <w:bookmarkStart w:id="3" w:name="_Toc69460499"/>
            <w:r w:rsidR="00392C61">
              <w:t>People matter survey</w:t>
            </w:r>
            <w:bookmarkEnd w:id="0"/>
            <w:bookmarkEnd w:id="1"/>
            <w:bookmarkEnd w:id="2"/>
            <w:bookmarkEnd w:id="3"/>
            <w:r w:rsidR="00392C61">
              <w:t xml:space="preserve"> for </w:t>
            </w:r>
            <w:r w:rsidR="00937365">
              <w:t>gender equality reporting</w:t>
            </w:r>
            <w:r w:rsidR="00392C61">
              <w:t xml:space="preserve"> </w:t>
            </w:r>
            <w:r w:rsidR="5DCBFBEA">
              <w:t>(</w:t>
            </w:r>
            <w:r w:rsidR="00392C61">
              <w:t>the survey</w:t>
            </w:r>
            <w:r w:rsidR="5DCBFBEA">
              <w:t>)</w:t>
            </w:r>
            <w:r w:rsidR="00FC40E5">
              <w:t xml:space="preserve"> </w:t>
            </w:r>
            <w:r w:rsidR="0035269D">
              <w:t>2025</w:t>
            </w:r>
            <w:r>
              <w:t xml:space="preserve"> is open from Monday </w:t>
            </w:r>
            <w:r w:rsidR="007A189B">
              <w:t>2</w:t>
            </w:r>
            <w:r w:rsidR="0035269D">
              <w:t xml:space="preserve">8 April </w:t>
            </w:r>
            <w:r>
              <w:t xml:space="preserve">to </w:t>
            </w:r>
            <w:r w:rsidRPr="00FB4C14">
              <w:t xml:space="preserve">Friday </w:t>
            </w:r>
            <w:r w:rsidR="0035269D">
              <w:t>16</w:t>
            </w:r>
            <w:r w:rsidRPr="00FB4C14">
              <w:t xml:space="preserve"> </w:t>
            </w:r>
            <w:r w:rsidR="0035269D">
              <w:t xml:space="preserve">May </w:t>
            </w:r>
            <w:r w:rsidRPr="00FB4C14">
              <w:t>(</w:t>
            </w:r>
            <w:r w:rsidR="0035269D">
              <w:t>3</w:t>
            </w:r>
            <w:r w:rsidRPr="00FB4C14">
              <w:t xml:space="preserve"> weeks)</w:t>
            </w:r>
            <w:r w:rsidRPr="00C1207D">
              <w:t xml:space="preserve">.  </w:t>
            </w:r>
          </w:p>
          <w:p w14:paraId="1FA37EDB" w14:textId="77777777" w:rsidR="00D64744" w:rsidRPr="00A26603" w:rsidRDefault="00D64744" w:rsidP="00621911">
            <w:pPr>
              <w:pStyle w:val="TableBullet1"/>
              <w:numPr>
                <w:ilvl w:val="0"/>
                <w:numId w:val="0"/>
              </w:numPr>
              <w:spacing w:after="160"/>
            </w:pPr>
            <w:r>
              <w:t xml:space="preserve">You’ll receive a survey link inviting you to take part. </w:t>
            </w:r>
          </w:p>
        </w:tc>
      </w:tr>
      <w:tr w:rsidR="00D64744" w14:paraId="420ECB16"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hideMark/>
          </w:tcPr>
          <w:p w14:paraId="4B855540" w14:textId="77777777" w:rsidR="00D64744" w:rsidRDefault="00D64744" w:rsidP="00621911">
            <w:pPr>
              <w:pStyle w:val="TableChartBody"/>
              <w:spacing w:after="240" w:line="264" w:lineRule="auto"/>
            </w:pPr>
            <w:r>
              <w:t xml:space="preserve">About the survey </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hideMark/>
          </w:tcPr>
          <w:p w14:paraId="3DCC9C5A" w14:textId="03A62B6D" w:rsidR="00E275CA" w:rsidRDefault="00E275CA" w:rsidP="00621911">
            <w:pPr>
              <w:pStyle w:val="Body"/>
              <w:spacing w:after="160"/>
            </w:pPr>
            <w:r>
              <w:t xml:space="preserve">The Commission for Gender Equality in the Public Sector offers the </w:t>
            </w:r>
            <w:r w:rsidR="00392C61">
              <w:t>survey</w:t>
            </w:r>
            <w:r>
              <w:t xml:space="preserve"> as an effective way for </w:t>
            </w:r>
            <w:r w:rsidR="00D5678E">
              <w:t>organisations</w:t>
            </w:r>
            <w:r>
              <w:t xml:space="preserve"> to </w:t>
            </w:r>
            <w:r w:rsidR="002D238D">
              <w:t xml:space="preserve">measure progress </w:t>
            </w:r>
            <w:r w:rsidR="003E61C1">
              <w:t>towards gender equality</w:t>
            </w:r>
            <w:r w:rsidR="002D238D">
              <w:t xml:space="preserve"> and </w:t>
            </w:r>
            <w:r>
              <w:t xml:space="preserve">find out what they’re doing well and where they need to </w:t>
            </w:r>
            <w:r w:rsidR="00C465A7">
              <w:t>improve</w:t>
            </w:r>
            <w:r>
              <w:t xml:space="preserve">. </w:t>
            </w:r>
          </w:p>
          <w:p w14:paraId="01B192CF" w14:textId="544AC647" w:rsidR="00CF07B3" w:rsidRDefault="00C465A7" w:rsidP="00621911">
            <w:pPr>
              <w:pStyle w:val="Body"/>
              <w:spacing w:after="160"/>
            </w:pPr>
            <w:r>
              <w:t>This</w:t>
            </w:r>
            <w:r w:rsidR="00171A72">
              <w:t xml:space="preserve"> </w:t>
            </w:r>
            <w:r w:rsidR="00CF07B3" w:rsidRPr="00A121A6">
              <w:t xml:space="preserve">is </w:t>
            </w:r>
            <w:r w:rsidR="00171A72">
              <w:t xml:space="preserve">an </w:t>
            </w:r>
            <w:r w:rsidR="00CF07B3" w:rsidRPr="00A121A6">
              <w:t xml:space="preserve">independent survey run by the Victorian Public Sector Commission. </w:t>
            </w:r>
          </w:p>
          <w:p w14:paraId="6C48DB37" w14:textId="77777777" w:rsidR="00D64744" w:rsidRDefault="00D64744" w:rsidP="00621911">
            <w:pPr>
              <w:pStyle w:val="TableBullet1"/>
              <w:numPr>
                <w:ilvl w:val="0"/>
                <w:numId w:val="0"/>
              </w:numPr>
              <w:spacing w:after="160"/>
            </w:pPr>
            <w:r w:rsidRPr="00A121A6">
              <w:t>It’s a safe and anonymous way for you to tell us what you think about your workplace experience.</w:t>
            </w:r>
            <w:r>
              <w:t xml:space="preserve"> </w:t>
            </w:r>
          </w:p>
        </w:tc>
      </w:tr>
      <w:tr w:rsidR="00D64744" w14:paraId="0587807F"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hideMark/>
          </w:tcPr>
          <w:p w14:paraId="4C91D971" w14:textId="713615EE" w:rsidR="00D64744" w:rsidRPr="007261D4" w:rsidRDefault="005705BB" w:rsidP="00621911">
            <w:pPr>
              <w:pStyle w:val="TableChartBody"/>
              <w:spacing w:line="264" w:lineRule="auto"/>
            </w:pPr>
            <w:r>
              <w:t>About the survey experience</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hideMark/>
          </w:tcPr>
          <w:p w14:paraId="082C9F6F" w14:textId="13E64658" w:rsidR="002723E0" w:rsidRDefault="00E25EE3" w:rsidP="00621911">
            <w:pPr>
              <w:pStyle w:val="TableChartBody"/>
              <w:spacing w:after="160"/>
              <w:rPr>
                <w:rFonts w:cs="VIC"/>
                <w:color w:val="221E1F"/>
                <w:lang w:eastAsia="en-AU"/>
              </w:rPr>
            </w:pPr>
            <w:r>
              <w:rPr>
                <w:rFonts w:cs="VIC"/>
                <w:color w:val="221E1F"/>
                <w:lang w:eastAsia="en-AU"/>
              </w:rPr>
              <w:t xml:space="preserve">Your participation is </w:t>
            </w:r>
            <w:proofErr w:type="gramStart"/>
            <w:r>
              <w:rPr>
                <w:rFonts w:cs="VIC"/>
                <w:color w:val="221E1F"/>
                <w:lang w:eastAsia="en-AU"/>
              </w:rPr>
              <w:t>optional,</w:t>
            </w:r>
            <w:proofErr w:type="gramEnd"/>
            <w:r>
              <w:rPr>
                <w:rFonts w:cs="VIC"/>
                <w:color w:val="221E1F"/>
                <w:lang w:eastAsia="en-AU"/>
              </w:rPr>
              <w:t xml:space="preserve"> however</w:t>
            </w:r>
            <w:r w:rsidR="002D238D">
              <w:rPr>
                <w:rFonts w:cs="VIC"/>
                <w:color w:val="221E1F"/>
                <w:lang w:eastAsia="en-AU"/>
              </w:rPr>
              <w:t>,</w:t>
            </w:r>
            <w:r>
              <w:rPr>
                <w:rFonts w:cs="VIC"/>
                <w:color w:val="221E1F"/>
                <w:lang w:eastAsia="en-AU"/>
              </w:rPr>
              <w:t xml:space="preserve"> you</w:t>
            </w:r>
            <w:r w:rsidR="00972C40">
              <w:rPr>
                <w:rFonts w:cs="VIC"/>
                <w:color w:val="221E1F"/>
                <w:lang w:eastAsia="en-AU"/>
              </w:rPr>
              <w:t xml:space="preserve"> are</w:t>
            </w:r>
            <w:r>
              <w:rPr>
                <w:rFonts w:cs="VIC"/>
                <w:color w:val="221E1F"/>
                <w:lang w:eastAsia="en-AU"/>
              </w:rPr>
              <w:t xml:space="preserve"> encouraged to have your say. </w:t>
            </w:r>
          </w:p>
          <w:p w14:paraId="146E99BC" w14:textId="75442E8A" w:rsidR="00D64744" w:rsidRDefault="00D64744" w:rsidP="00621911">
            <w:pPr>
              <w:pStyle w:val="TableChartBody"/>
              <w:spacing w:after="160"/>
              <w:rPr>
                <w:rFonts w:cs="VIC"/>
                <w:color w:val="221E1F"/>
                <w:lang w:eastAsia="en-AU"/>
              </w:rPr>
            </w:pPr>
            <w:r w:rsidRPr="1E09A5D0">
              <w:rPr>
                <w:rFonts w:cs="VIC"/>
                <w:color w:val="221E1F"/>
                <w:lang w:eastAsia="en-AU"/>
              </w:rPr>
              <w:t xml:space="preserve">You’ll be able to access the survey from a </w:t>
            </w:r>
            <w:r>
              <w:rPr>
                <w:rFonts w:cs="VIC"/>
                <w:color w:val="221E1F"/>
                <w:lang w:eastAsia="en-AU"/>
              </w:rPr>
              <w:t>desktop or</w:t>
            </w:r>
            <w:r w:rsidR="00933555">
              <w:rPr>
                <w:rFonts w:cs="VIC"/>
                <w:color w:val="221E1F"/>
                <w:lang w:eastAsia="en-AU"/>
              </w:rPr>
              <w:t xml:space="preserve"> </w:t>
            </w:r>
            <w:r w:rsidRPr="1E09A5D0">
              <w:rPr>
                <w:rFonts w:cs="VIC"/>
                <w:color w:val="221E1F"/>
                <w:lang w:eastAsia="en-AU"/>
              </w:rPr>
              <w:t>mobile device</w:t>
            </w:r>
            <w:r>
              <w:rPr>
                <w:rFonts w:cs="VIC"/>
                <w:color w:val="221E1F"/>
                <w:lang w:eastAsia="en-AU"/>
              </w:rPr>
              <w:t>.</w:t>
            </w:r>
          </w:p>
          <w:p w14:paraId="6421F381" w14:textId="74DD1991" w:rsidR="00D64744" w:rsidRPr="007261D4" w:rsidRDefault="00D64744" w:rsidP="00621911">
            <w:pPr>
              <w:pStyle w:val="Bullet1"/>
              <w:numPr>
                <w:ilvl w:val="0"/>
                <w:numId w:val="0"/>
              </w:numPr>
              <w:spacing w:after="160"/>
            </w:pPr>
            <w:r>
              <w:rPr>
                <w:rFonts w:cs="VIC"/>
                <w:color w:val="221E1F"/>
                <w:lang w:eastAsia="en-AU"/>
              </w:rPr>
              <w:t xml:space="preserve">The </w:t>
            </w:r>
            <w:r w:rsidRPr="672489EB">
              <w:rPr>
                <w:rFonts w:cs="VIC"/>
                <w:color w:val="221E1F"/>
                <w:lang w:eastAsia="en-AU"/>
              </w:rPr>
              <w:t>s</w:t>
            </w:r>
            <w:r>
              <w:rPr>
                <w:rFonts w:cs="VIC"/>
                <w:color w:val="221E1F"/>
                <w:lang w:eastAsia="en-AU"/>
              </w:rPr>
              <w:t xml:space="preserve">urvey will take </w:t>
            </w:r>
            <w:r w:rsidR="00933555">
              <w:rPr>
                <w:rFonts w:cs="VIC"/>
                <w:color w:val="221E1F"/>
                <w:lang w:eastAsia="en-AU"/>
              </w:rPr>
              <w:t xml:space="preserve">around </w:t>
            </w:r>
            <w:r w:rsidR="00542E02">
              <w:rPr>
                <w:rFonts w:cs="VIC"/>
                <w:color w:val="221E1F"/>
                <w:lang w:eastAsia="en-AU"/>
              </w:rPr>
              <w:t>1</w:t>
            </w:r>
            <w:r w:rsidRPr="00425260">
              <w:rPr>
                <w:rFonts w:cs="VIC"/>
                <w:color w:val="000000"/>
                <w:lang w:eastAsia="en-AU"/>
              </w:rPr>
              <w:t xml:space="preserve">5 minutes to complete. </w:t>
            </w:r>
          </w:p>
        </w:tc>
      </w:tr>
      <w:tr w:rsidR="00D64744" w14:paraId="3494CE47"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hideMark/>
          </w:tcPr>
          <w:p w14:paraId="3A593971" w14:textId="77777777" w:rsidR="00D64744" w:rsidRPr="0053213D" w:rsidRDefault="00D64744" w:rsidP="00621911">
            <w:pPr>
              <w:pStyle w:val="TableChartBody"/>
              <w:spacing w:line="264" w:lineRule="auto"/>
            </w:pPr>
            <w:r w:rsidRPr="00D235F7">
              <w:t>What you will be asked</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hideMark/>
          </w:tcPr>
          <w:p w14:paraId="45844E94" w14:textId="2F4B42E8" w:rsidR="00E55890" w:rsidRDefault="6DBE26F9" w:rsidP="00E55890">
            <w:pPr>
              <w:pStyle w:val="TO1"/>
            </w:pPr>
            <w:r>
              <w:t xml:space="preserve">The </w:t>
            </w:r>
            <w:r w:rsidR="00264A2B">
              <w:t>survey</w:t>
            </w:r>
            <w:r w:rsidR="00425870">
              <w:t xml:space="preserve"> </w:t>
            </w:r>
            <w:r w:rsidR="002841D3">
              <w:t xml:space="preserve">is </w:t>
            </w:r>
            <w:r w:rsidR="00E55890">
              <w:t xml:space="preserve">relevant to all employees regardless of </w:t>
            </w:r>
            <w:r w:rsidR="00C05364">
              <w:t xml:space="preserve">what your role is. </w:t>
            </w:r>
          </w:p>
          <w:p w14:paraId="776934C8" w14:textId="77777777" w:rsidR="00E55890" w:rsidRPr="00E55890" w:rsidRDefault="00E55890" w:rsidP="00E55890">
            <w:pPr>
              <w:pStyle w:val="TO1"/>
            </w:pPr>
          </w:p>
          <w:p w14:paraId="14104551" w14:textId="47739C4B" w:rsidR="00D64744" w:rsidRPr="00C409BC" w:rsidRDefault="00440CCC" w:rsidP="00C409BC">
            <w:pPr>
              <w:pStyle w:val="TableChartBody"/>
              <w:spacing w:after="160"/>
              <w:rPr>
                <w:rFonts w:cs="VIC"/>
                <w:color w:val="221E1F"/>
                <w:lang w:eastAsia="en-AU"/>
              </w:rPr>
            </w:pPr>
            <w:r>
              <w:rPr>
                <w:rFonts w:cs="VIC"/>
                <w:color w:val="221E1F"/>
                <w:lang w:eastAsia="en-AU"/>
              </w:rPr>
              <w:lastRenderedPageBreak/>
              <w:t>T</w:t>
            </w:r>
            <w:r w:rsidR="00542E02">
              <w:rPr>
                <w:rFonts w:cs="VIC"/>
                <w:color w:val="221E1F"/>
                <w:lang w:eastAsia="en-AU"/>
              </w:rPr>
              <w:t xml:space="preserve">he Commission for Gender Equality in the Public Sector </w:t>
            </w:r>
            <w:r>
              <w:rPr>
                <w:rFonts w:cs="VIC"/>
                <w:color w:val="221E1F"/>
                <w:lang w:eastAsia="en-AU"/>
              </w:rPr>
              <w:t xml:space="preserve">has developed questions </w:t>
            </w:r>
            <w:r w:rsidR="00AD1608">
              <w:rPr>
                <w:rFonts w:cs="VIC"/>
                <w:color w:val="221E1F"/>
                <w:lang w:eastAsia="en-AU"/>
              </w:rPr>
              <w:t>for</w:t>
            </w:r>
            <w:r w:rsidR="00542E02">
              <w:rPr>
                <w:rFonts w:cs="VIC"/>
                <w:color w:val="221E1F"/>
                <w:lang w:eastAsia="en-AU"/>
              </w:rPr>
              <w:t xml:space="preserve"> </w:t>
            </w:r>
            <w:r w:rsidR="00F5241E">
              <w:rPr>
                <w:rFonts w:cs="VIC"/>
                <w:color w:val="221E1F"/>
                <w:lang w:eastAsia="en-AU"/>
              </w:rPr>
              <w:t xml:space="preserve">organisations </w:t>
            </w:r>
            <w:r w:rsidR="00AD1608">
              <w:rPr>
                <w:rFonts w:cs="VIC"/>
                <w:color w:val="221E1F"/>
                <w:lang w:eastAsia="en-AU"/>
              </w:rPr>
              <w:t xml:space="preserve">to </w:t>
            </w:r>
            <w:r w:rsidR="00C45255">
              <w:rPr>
                <w:rFonts w:cs="VIC"/>
                <w:color w:val="221E1F"/>
                <w:lang w:eastAsia="en-AU"/>
              </w:rPr>
              <w:t xml:space="preserve">measure progress toward gender equality in the </w:t>
            </w:r>
            <w:r w:rsidR="004D39BC">
              <w:rPr>
                <w:rFonts w:cs="VIC"/>
                <w:color w:val="221E1F"/>
                <w:lang w:eastAsia="en-AU"/>
              </w:rPr>
              <w:t>workplace</w:t>
            </w:r>
            <w:r w:rsidR="00542E02">
              <w:rPr>
                <w:rFonts w:cs="VIC"/>
                <w:color w:val="221E1F"/>
                <w:lang w:eastAsia="en-AU"/>
              </w:rPr>
              <w:t xml:space="preserve">. </w:t>
            </w:r>
          </w:p>
          <w:p w14:paraId="4F3FF7C9" w14:textId="2C267C57" w:rsidR="00D64744" w:rsidRPr="000A3CC9" w:rsidRDefault="00D64744" w:rsidP="00497ECD">
            <w:pPr>
              <w:pStyle w:val="TableChartBody"/>
            </w:pPr>
            <w:r>
              <w:t xml:space="preserve">You’ll be asked questions about your workplace experience </w:t>
            </w:r>
            <w:r w:rsidR="00584D28">
              <w:t xml:space="preserve">of: </w:t>
            </w:r>
          </w:p>
          <w:p w14:paraId="17DFDD11" w14:textId="77777777" w:rsidR="00D64744" w:rsidRPr="00A84739" w:rsidRDefault="00D64744" w:rsidP="00621911">
            <w:pPr>
              <w:pStyle w:val="TableBullet1"/>
              <w:spacing w:line="240" w:lineRule="auto"/>
              <w:rPr>
                <w:rFonts w:cs="VIC"/>
                <w:color w:val="000000"/>
                <w:lang w:eastAsia="en-AU"/>
              </w:rPr>
            </w:pPr>
            <w:r>
              <w:t>Career development</w:t>
            </w:r>
          </w:p>
          <w:p w14:paraId="0230A61A" w14:textId="77777777" w:rsidR="00D64744" w:rsidRPr="00A84739" w:rsidRDefault="00D64744" w:rsidP="00621911">
            <w:pPr>
              <w:pStyle w:val="TableBullet1"/>
              <w:spacing w:line="240" w:lineRule="auto"/>
              <w:rPr>
                <w:rFonts w:cs="VIC"/>
                <w:color w:val="000000"/>
                <w:lang w:eastAsia="en-AU"/>
              </w:rPr>
            </w:pPr>
            <w:r>
              <w:t>Diversity and inclusion</w:t>
            </w:r>
          </w:p>
          <w:p w14:paraId="1F60ED84" w14:textId="77777777" w:rsidR="00D64744" w:rsidRPr="00C101E9" w:rsidRDefault="00D64744" w:rsidP="00621911">
            <w:pPr>
              <w:pStyle w:val="TableBullet1"/>
              <w:spacing w:line="240" w:lineRule="auto"/>
              <w:rPr>
                <w:rFonts w:cs="VIC"/>
                <w:color w:val="000000"/>
                <w:lang w:eastAsia="en-AU"/>
              </w:rPr>
            </w:pPr>
            <w:r>
              <w:t>Flexible working</w:t>
            </w:r>
          </w:p>
          <w:p w14:paraId="6484B207" w14:textId="77777777" w:rsidR="00D64744" w:rsidRDefault="00D64744" w:rsidP="00621911">
            <w:pPr>
              <w:pStyle w:val="TableBullet1"/>
              <w:spacing w:line="240" w:lineRule="auto"/>
              <w:rPr>
                <w:rFonts w:cs="VIC"/>
                <w:color w:val="000000"/>
                <w:lang w:eastAsia="en-AU"/>
              </w:rPr>
            </w:pPr>
            <w:r>
              <w:rPr>
                <w:rFonts w:cs="VIC"/>
                <w:color w:val="000000"/>
              </w:rPr>
              <w:t>Equal opportunity employment</w:t>
            </w:r>
          </w:p>
          <w:p w14:paraId="31AC285A" w14:textId="73724502" w:rsidR="00D64744" w:rsidRPr="000154DB" w:rsidRDefault="00C54210" w:rsidP="000154DB">
            <w:pPr>
              <w:pStyle w:val="TableBullet1"/>
              <w:spacing w:line="240" w:lineRule="auto"/>
              <w:rPr>
                <w:rFonts w:cs="VIC"/>
                <w:color w:val="000000"/>
                <w:lang w:eastAsia="en-AU"/>
              </w:rPr>
            </w:pPr>
            <w:r>
              <w:rPr>
                <w:color w:val="000000"/>
                <w:lang w:eastAsia="en-AU"/>
              </w:rPr>
              <w:t xml:space="preserve">Cultural safety </w:t>
            </w:r>
          </w:p>
        </w:tc>
      </w:tr>
      <w:tr w:rsidR="00D64744" w14:paraId="69508674"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tcPr>
          <w:p w14:paraId="4BBA3B81" w14:textId="77777777" w:rsidR="00D64744" w:rsidRPr="0053213D" w:rsidRDefault="00D64744" w:rsidP="00621911">
            <w:pPr>
              <w:pStyle w:val="TableChartBody"/>
              <w:spacing w:after="240" w:line="264" w:lineRule="auto"/>
            </w:pPr>
            <w:r w:rsidRPr="00421AEF">
              <w:lastRenderedPageBreak/>
              <w:t>Why this year’s survey is important, and you should take part</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362BA047" w14:textId="0D9D2F68" w:rsidR="00D64744" w:rsidRDefault="00D64744" w:rsidP="00621911">
            <w:pPr>
              <w:pStyle w:val="TableBullet1"/>
              <w:numPr>
                <w:ilvl w:val="0"/>
                <w:numId w:val="0"/>
              </w:numPr>
              <w:spacing w:after="160"/>
            </w:pPr>
            <w:r w:rsidRPr="00795CE6">
              <w:t xml:space="preserve">Your opinion and unique perspective on our workplace culture matters to us all. </w:t>
            </w:r>
          </w:p>
          <w:p w14:paraId="62305F8D" w14:textId="091897EA" w:rsidR="00C1259F" w:rsidRDefault="00C1259F" w:rsidP="00621911">
            <w:pPr>
              <w:pStyle w:val="TableBullet1"/>
              <w:numPr>
                <w:ilvl w:val="0"/>
                <w:numId w:val="0"/>
              </w:numPr>
              <w:spacing w:after="160"/>
            </w:pPr>
            <w:r>
              <w:t xml:space="preserve">We don’t shy away from survey results that tell us where we need to improve. We take responsibility for our results and use this information to plan and implement changes and initiatives. This is why we encourage you to complete the survey. </w:t>
            </w:r>
          </w:p>
          <w:p w14:paraId="30092155" w14:textId="66751B8B" w:rsidR="00D64744" w:rsidRPr="00241CF2" w:rsidRDefault="00D64744" w:rsidP="005B457B">
            <w:pPr>
              <w:pStyle w:val="TableBullet1"/>
              <w:numPr>
                <w:ilvl w:val="0"/>
                <w:numId w:val="0"/>
              </w:numPr>
              <w:spacing w:after="160"/>
              <w:rPr>
                <w:b/>
                <w:bCs/>
              </w:rPr>
            </w:pPr>
            <w:r>
              <w:t>And t</w:t>
            </w:r>
            <w:r w:rsidRPr="00271059">
              <w:t xml:space="preserve">he results help </w:t>
            </w:r>
            <w:r w:rsidR="00D5678E">
              <w:t>organisations</w:t>
            </w:r>
            <w:r w:rsidRPr="00271059">
              <w:t xml:space="preserve"> </w:t>
            </w:r>
            <w:r>
              <w:t xml:space="preserve">like ours </w:t>
            </w:r>
            <w:r w:rsidRPr="00271059">
              <w:t xml:space="preserve">to track </w:t>
            </w:r>
            <w:r w:rsidR="00827024">
              <w:t>i</w:t>
            </w:r>
            <w:r w:rsidR="00E4664A">
              <w:t>f we are</w:t>
            </w:r>
            <w:r w:rsidR="00827024" w:rsidRPr="2CB8AC61">
              <w:rPr>
                <w:rFonts w:eastAsiaTheme="minorEastAsia"/>
              </w:rPr>
              <w:t xml:space="preserve"> </w:t>
            </w:r>
            <w:r w:rsidR="00827024">
              <w:rPr>
                <w:rFonts w:eastAsiaTheme="minorEastAsia"/>
              </w:rPr>
              <w:t>taking positive steps towards creating</w:t>
            </w:r>
            <w:r w:rsidR="00827024" w:rsidRPr="775A1E35">
              <w:rPr>
                <w:rFonts w:eastAsiaTheme="minorEastAsia"/>
              </w:rPr>
              <w:t xml:space="preserve"> </w:t>
            </w:r>
            <w:r w:rsidR="00827024">
              <w:rPr>
                <w:rFonts w:eastAsiaTheme="minorEastAsia"/>
              </w:rPr>
              <w:t xml:space="preserve">a more </w:t>
            </w:r>
            <w:r w:rsidR="00827024" w:rsidRPr="775A1E35">
              <w:rPr>
                <w:rFonts w:eastAsiaTheme="minorEastAsia"/>
              </w:rPr>
              <w:t>healthy, diverse, and inclusive workplace.</w:t>
            </w:r>
            <w:r w:rsidR="00827024">
              <w:t xml:space="preserve"> </w:t>
            </w:r>
          </w:p>
        </w:tc>
      </w:tr>
      <w:tr w:rsidR="00D64744" w14:paraId="29AA6073"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tcPr>
          <w:p w14:paraId="512F6185" w14:textId="29F3A5BD" w:rsidR="00D64744" w:rsidRDefault="00D64744" w:rsidP="00621911">
            <w:pPr>
              <w:pStyle w:val="TableChartBody"/>
              <w:spacing w:line="264" w:lineRule="auto"/>
            </w:pPr>
            <w:r w:rsidRPr="00033B8B">
              <w:rPr>
                <w:b/>
                <w:bCs/>
              </w:rPr>
              <w:t xml:space="preserve">(OPTIONAL TOPIC </w:t>
            </w:r>
            <w:r w:rsidR="005D7265">
              <w:rPr>
                <w:b/>
                <w:bCs/>
              </w:rPr>
              <w:t>1</w:t>
            </w:r>
            <w:r w:rsidRPr="00033B8B">
              <w:rPr>
                <w:b/>
                <w:bCs/>
              </w:rPr>
              <w:t>)</w:t>
            </w:r>
          </w:p>
          <w:p w14:paraId="21BD1B30" w14:textId="5073A222" w:rsidR="00D64744" w:rsidRPr="001A78C5" w:rsidRDefault="00D64744" w:rsidP="00621911">
            <w:pPr>
              <w:pStyle w:val="TableChartBody"/>
              <w:spacing w:after="240" w:line="264" w:lineRule="auto"/>
            </w:pPr>
            <w:r w:rsidRPr="001A78C5">
              <w:t xml:space="preserve">How the </w:t>
            </w:r>
            <w:r>
              <w:t>P</w:t>
            </w:r>
            <w:r w:rsidRPr="001A78C5">
              <w:t xml:space="preserve">eople </w:t>
            </w:r>
            <w:r w:rsidR="00ED550D">
              <w:t>m</w:t>
            </w:r>
            <w:r w:rsidRPr="001A78C5">
              <w:t xml:space="preserve">atter </w:t>
            </w:r>
            <w:r w:rsidR="00ED550D">
              <w:t>s</w:t>
            </w:r>
            <w:r w:rsidRPr="001A78C5">
              <w:t xml:space="preserve">urvey </w:t>
            </w:r>
            <w:r w:rsidR="00ED550D">
              <w:t xml:space="preserve">for </w:t>
            </w:r>
            <w:r w:rsidR="00937365">
              <w:t>gender equality reporting</w:t>
            </w:r>
            <w:r w:rsidR="00ED550D">
              <w:t xml:space="preserve"> </w:t>
            </w:r>
            <w:r w:rsidRPr="001A78C5">
              <w:t xml:space="preserve">contributes to a safe and inclusive workplace  </w:t>
            </w:r>
          </w:p>
          <w:p w14:paraId="6EC8BB2E" w14:textId="77777777" w:rsidR="00D64744" w:rsidRPr="00033B8B" w:rsidRDefault="00D64744" w:rsidP="00621911">
            <w:pPr>
              <w:pStyle w:val="TableChartBody"/>
              <w:spacing w:after="240" w:line="264" w:lineRule="auto"/>
              <w:rPr>
                <w:b/>
                <w:bCs/>
              </w:rPr>
            </w:pP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0A3072E3" w14:textId="7FF9C1D2" w:rsidR="00C3018D" w:rsidRPr="00C1207D" w:rsidRDefault="00D64744" w:rsidP="00736E9E">
            <w:pPr>
              <w:pStyle w:val="ListParagraph"/>
              <w:spacing w:after="240" w:line="288" w:lineRule="auto"/>
              <w:ind w:left="0" w:firstLine="0"/>
            </w:pPr>
            <w:r w:rsidRPr="00C1207D">
              <w:t xml:space="preserve">In the survey you will be asked demographic questions, such as your age, gender and cultural background. </w:t>
            </w:r>
          </w:p>
          <w:p w14:paraId="7263679C" w14:textId="77777777" w:rsidR="00736E9E" w:rsidRPr="00C1207D" w:rsidRDefault="00736E9E" w:rsidP="00736E9E">
            <w:pPr>
              <w:pStyle w:val="ListParagraph"/>
              <w:spacing w:after="240" w:line="288" w:lineRule="auto"/>
              <w:ind w:left="0" w:firstLine="0"/>
            </w:pPr>
          </w:p>
          <w:p w14:paraId="243CC943" w14:textId="253ADA9D" w:rsidR="00CF7F1A" w:rsidRPr="00C1207D" w:rsidRDefault="00D64744" w:rsidP="00621911">
            <w:pPr>
              <w:pStyle w:val="ListParagraph"/>
              <w:spacing w:after="160" w:line="288" w:lineRule="auto"/>
              <w:ind w:left="0" w:firstLine="0"/>
            </w:pPr>
            <w:r w:rsidRPr="00C1207D">
              <w:t xml:space="preserve">These questions are designed to gather information about our workforce to </w:t>
            </w:r>
            <w:r w:rsidR="00011CCB" w:rsidRPr="00C1207D">
              <w:t>track</w:t>
            </w:r>
            <w:r w:rsidR="000F78D6" w:rsidRPr="00C1207D">
              <w:t xml:space="preserve"> if we are making </w:t>
            </w:r>
            <w:r w:rsidR="00E12195" w:rsidRPr="00C1207D">
              <w:t xml:space="preserve">positive steps towards </w:t>
            </w:r>
            <w:r w:rsidR="00CF7F1A" w:rsidRPr="00C1207D">
              <w:t>gender equality, eliminat</w:t>
            </w:r>
            <w:r w:rsidR="001A39DB" w:rsidRPr="00C1207D">
              <w:t>ing</w:t>
            </w:r>
            <w:r w:rsidR="00CF7F1A" w:rsidRPr="00C1207D">
              <w:t xml:space="preserve"> negative workplace behaviours, and ensur</w:t>
            </w:r>
            <w:r w:rsidR="001A39DB" w:rsidRPr="00C1207D">
              <w:t>ing</w:t>
            </w:r>
            <w:r w:rsidR="00CF7F1A" w:rsidRPr="00C1207D">
              <w:t xml:space="preserve"> the workforce reflects the diversity of the Victorian community. </w:t>
            </w:r>
          </w:p>
          <w:p w14:paraId="1481B113" w14:textId="2D0F63A0" w:rsidR="00D64744" w:rsidRPr="00C1207D" w:rsidRDefault="00D64744" w:rsidP="00621911">
            <w:pPr>
              <w:pStyle w:val="TableBullet1"/>
              <w:numPr>
                <w:ilvl w:val="0"/>
                <w:numId w:val="0"/>
              </w:numPr>
              <w:spacing w:after="160"/>
            </w:pPr>
            <w:r w:rsidRPr="00C1207D">
              <w:t xml:space="preserve">Different groups </w:t>
            </w:r>
            <w:r w:rsidR="00EF3387" w:rsidRPr="00C1207D">
              <w:t>including</w:t>
            </w:r>
            <w:r w:rsidRPr="00C1207D">
              <w:t xml:space="preserve"> </w:t>
            </w:r>
            <w:r w:rsidR="003D30DE" w:rsidRPr="00C1207D">
              <w:t>the Commission for Gender Equality in the Public Sector</w:t>
            </w:r>
            <w:r w:rsidR="00BA5DCE" w:rsidRPr="00C1207D">
              <w:t xml:space="preserve"> will </w:t>
            </w:r>
            <w:r w:rsidRPr="00C1207D">
              <w:t xml:space="preserve">use the results from </w:t>
            </w:r>
            <w:r w:rsidRPr="00C1207D">
              <w:lastRenderedPageBreak/>
              <w:t>the People matter survey</w:t>
            </w:r>
            <w:r w:rsidR="00BA5DCE" w:rsidRPr="00C1207D">
              <w:t xml:space="preserve"> for </w:t>
            </w:r>
            <w:r w:rsidR="00937365">
              <w:t>gender equality reporting</w:t>
            </w:r>
            <w:r w:rsidR="00BA5DCE" w:rsidRPr="00C1207D">
              <w:t xml:space="preserve">. </w:t>
            </w:r>
          </w:p>
          <w:p w14:paraId="69628E2C" w14:textId="186CA57B" w:rsidR="00935C75" w:rsidRPr="00C1207D" w:rsidRDefault="00D64744" w:rsidP="00621911">
            <w:pPr>
              <w:pStyle w:val="TableBullet1"/>
              <w:numPr>
                <w:ilvl w:val="0"/>
                <w:numId w:val="0"/>
              </w:numPr>
              <w:spacing w:after="160"/>
            </w:pPr>
            <w:r w:rsidRPr="00C1207D">
              <w:t xml:space="preserve">Your information helps these groups, and others like them, to understand what </w:t>
            </w:r>
            <w:r w:rsidR="00521DBA" w:rsidRPr="00C1207D">
              <w:t xml:space="preserve">a </w:t>
            </w:r>
            <w:r w:rsidR="00E304F7" w:rsidRPr="00C1207D">
              <w:t xml:space="preserve">gender equitable </w:t>
            </w:r>
            <w:r w:rsidRPr="00C1207D">
              <w:t xml:space="preserve">workplace looks like to you and to </w:t>
            </w:r>
            <w:r w:rsidR="00935C75" w:rsidRPr="00C1207D">
              <w:t>hel</w:t>
            </w:r>
            <w:r w:rsidR="007F0F9D" w:rsidRPr="00C1207D">
              <w:t>p</w:t>
            </w:r>
            <w:r w:rsidR="00935C75" w:rsidRPr="00C1207D">
              <w:t xml:space="preserve"> the Victorian Government maintain </w:t>
            </w:r>
            <w:r w:rsidR="0035269D">
              <w:t xml:space="preserve">workplaces </w:t>
            </w:r>
            <w:r w:rsidR="00935C75" w:rsidRPr="00C1207D">
              <w:t>that strives for an inclusive, high-performing and engaged workforce.</w:t>
            </w:r>
          </w:p>
          <w:p w14:paraId="26C54538" w14:textId="5B123802" w:rsidR="009833EF" w:rsidRPr="00C1207D" w:rsidRDefault="00D64744" w:rsidP="00621911">
            <w:pPr>
              <w:pStyle w:val="TableBullet1"/>
              <w:numPr>
                <w:ilvl w:val="0"/>
                <w:numId w:val="0"/>
              </w:numPr>
              <w:spacing w:after="160"/>
            </w:pPr>
            <w:r w:rsidRPr="00C1207D">
              <w:t xml:space="preserve">We want people of all abilities, backgrounds, genders and cultures to feel safe and empowered working in </w:t>
            </w:r>
            <w:r w:rsidR="0035269D">
              <w:t>organisations</w:t>
            </w:r>
            <w:r w:rsidRPr="00C1207D">
              <w:t xml:space="preserve">. </w:t>
            </w:r>
          </w:p>
          <w:p w14:paraId="766206C3" w14:textId="64FB96B1" w:rsidR="00D64744" w:rsidRPr="00C1207D" w:rsidRDefault="00D64744" w:rsidP="00621911">
            <w:pPr>
              <w:pStyle w:val="TableBullet1"/>
              <w:numPr>
                <w:ilvl w:val="0"/>
                <w:numId w:val="0"/>
              </w:numPr>
              <w:spacing w:after="160"/>
            </w:pPr>
            <w:r w:rsidRPr="00C1207D">
              <w:t xml:space="preserve">Each of us has different ideas, perspectives and skills to share. The more we share, the more we understand each other. When our workforce is reflective of the Victorian community, services work better for everybody. </w:t>
            </w:r>
          </w:p>
        </w:tc>
      </w:tr>
      <w:tr w:rsidR="0083123B" w14:paraId="428801B7" w14:textId="77777777" w:rsidTr="00621911">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tcPr>
          <w:p w14:paraId="6A410B91" w14:textId="77777777" w:rsidR="0083123B" w:rsidRDefault="0083123B" w:rsidP="00621911">
            <w:pPr>
              <w:pStyle w:val="TableChartBody"/>
              <w:spacing w:line="264" w:lineRule="auto"/>
            </w:pPr>
            <w:r>
              <w:lastRenderedPageBreak/>
              <w:t>What is the Gender Equality Act (2020)</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5C65A56C" w14:textId="6A5D2986" w:rsidR="0083123B" w:rsidRDefault="0083123B" w:rsidP="00621911">
            <w:pPr>
              <w:pStyle w:val="TableChartBody"/>
              <w:spacing w:after="160"/>
              <w:rPr>
                <w:rFonts w:cs="VIC"/>
                <w:color w:val="221E1F"/>
                <w:lang w:eastAsia="en-AU"/>
              </w:rPr>
            </w:pPr>
            <w:r>
              <w:rPr>
                <w:rFonts w:cs="VIC"/>
                <w:color w:val="221E1F"/>
                <w:lang w:eastAsia="en-AU"/>
              </w:rPr>
              <w:t xml:space="preserve">The </w:t>
            </w:r>
            <w:hyperlink r:id="rId11" w:history="1">
              <w:r w:rsidRPr="000037CA">
                <w:rPr>
                  <w:rStyle w:val="Hyperlink"/>
                  <w:rFonts w:cs="VIC"/>
                  <w:lang w:eastAsia="en-AU"/>
                </w:rPr>
                <w:t>Gender Equality Act</w:t>
              </w:r>
            </w:hyperlink>
            <w:r>
              <w:rPr>
                <w:rFonts w:cs="VIC"/>
                <w:color w:val="221E1F"/>
                <w:lang w:eastAsia="en-AU"/>
              </w:rPr>
              <w:t xml:space="preserve"> will improve workplace gender equality in the Victorian public sector, universities, libraries, and local councils. </w:t>
            </w:r>
          </w:p>
        </w:tc>
      </w:tr>
      <w:tr w:rsidR="00D64744" w14:paraId="230C0AE5"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tcPr>
          <w:p w14:paraId="0842EE21" w14:textId="77777777" w:rsidR="00D64744" w:rsidRDefault="00D64744" w:rsidP="00621911">
            <w:pPr>
              <w:pStyle w:val="TableChartBody"/>
              <w:spacing w:after="240" w:line="264" w:lineRule="auto"/>
            </w:pPr>
            <w:r w:rsidRPr="00A573EB">
              <w:t>How do I know my privacy and anonymity is protected?</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0AB60D02" w14:textId="77777777" w:rsidR="00D64744" w:rsidRPr="00C1207D" w:rsidRDefault="00D64744" w:rsidP="00621911">
            <w:pPr>
              <w:pStyle w:val="Body"/>
              <w:spacing w:after="160"/>
            </w:pPr>
            <w:r w:rsidRPr="00C1207D">
              <w:t xml:space="preserve">For those of you with questions about privacy and anonymity: </w:t>
            </w:r>
          </w:p>
          <w:p w14:paraId="051DAEDE" w14:textId="77777777" w:rsidR="00D64744" w:rsidRPr="00C1207D" w:rsidRDefault="00D64744" w:rsidP="00621911">
            <w:pPr>
              <w:pStyle w:val="Body"/>
            </w:pPr>
            <w:r w:rsidRPr="00C1207D">
              <w:t>The Victorian Public Sector Commission uses strict rules to protect your privacy and anonymity at every stage of the survey.</w:t>
            </w:r>
          </w:p>
          <w:p w14:paraId="5ECA2368" w14:textId="77777777" w:rsidR="00D64744" w:rsidRPr="00C1207D" w:rsidRDefault="00D64744" w:rsidP="00621911">
            <w:pPr>
              <w:pStyle w:val="Body"/>
            </w:pPr>
          </w:p>
          <w:p w14:paraId="0BBD45CB" w14:textId="77777777" w:rsidR="00D64744" w:rsidRPr="00C1207D" w:rsidRDefault="00D64744" w:rsidP="00621911">
            <w:pPr>
              <w:pStyle w:val="Body"/>
            </w:pPr>
            <w:r w:rsidRPr="00C1207D">
              <w:t>You have the option to respond to demographic questions, such as age or gender, with ‘prefer not to say’.</w:t>
            </w:r>
          </w:p>
          <w:p w14:paraId="772B3DA2" w14:textId="77777777" w:rsidR="00D64744" w:rsidRPr="00C1207D" w:rsidRDefault="00D64744" w:rsidP="00621911">
            <w:pPr>
              <w:pStyle w:val="Body"/>
            </w:pPr>
          </w:p>
          <w:p w14:paraId="50E8553B" w14:textId="779FEB95" w:rsidR="00D64744" w:rsidRPr="00C1207D" w:rsidRDefault="00D64744" w:rsidP="00621911">
            <w:pPr>
              <w:pStyle w:val="Body"/>
            </w:pPr>
            <w:r w:rsidRPr="00C1207D">
              <w:t>To protect you, the</w:t>
            </w:r>
            <w:r w:rsidR="00C465A7" w:rsidRPr="00C1207D">
              <w:t xml:space="preserve"> survey</w:t>
            </w:r>
            <w:r w:rsidRPr="00C1207D">
              <w:t xml:space="preserve">: </w:t>
            </w:r>
          </w:p>
          <w:p w14:paraId="0708B667" w14:textId="77777777" w:rsidR="00C1207D" w:rsidRPr="00FB4C14" w:rsidRDefault="00C1207D" w:rsidP="00C1207D">
            <w:pPr>
              <w:pStyle w:val="Body"/>
              <w:keepNext/>
              <w:keepLines/>
              <w:numPr>
                <w:ilvl w:val="0"/>
                <w:numId w:val="3"/>
              </w:numPr>
              <w:spacing w:after="160"/>
            </w:pPr>
            <w:r>
              <w:lastRenderedPageBreak/>
              <w:t>uses an anonymous survey link and everyone in your organisation receives the same survey link</w:t>
            </w:r>
          </w:p>
          <w:p w14:paraId="5EBD0D06" w14:textId="2ADC61B7" w:rsidR="13D01F2E" w:rsidRDefault="13D01F2E" w:rsidP="4A9FC9D4">
            <w:pPr>
              <w:pStyle w:val="Body"/>
              <w:keepNext/>
              <w:keepLines/>
              <w:numPr>
                <w:ilvl w:val="0"/>
                <w:numId w:val="3"/>
              </w:numPr>
              <w:spacing w:after="160"/>
            </w:pPr>
            <w:r>
              <w:t>de-identif</w:t>
            </w:r>
            <w:r w:rsidR="00480A83">
              <w:t>ies</w:t>
            </w:r>
            <w:r>
              <w:t xml:space="preserve"> all data that employers get</w:t>
            </w:r>
          </w:p>
          <w:p w14:paraId="744A422A" w14:textId="0AD37C1D" w:rsidR="00C1207D" w:rsidRPr="00FB4C14" w:rsidRDefault="00C1207D" w:rsidP="00C1207D">
            <w:pPr>
              <w:pStyle w:val="Body"/>
              <w:keepNext/>
              <w:keepLines/>
              <w:numPr>
                <w:ilvl w:val="0"/>
                <w:numId w:val="3"/>
              </w:numPr>
              <w:spacing w:after="160"/>
            </w:pPr>
            <w:r w:rsidRPr="00FB4C14">
              <w:t>de-identif</w:t>
            </w:r>
            <w:r w:rsidR="0018207B">
              <w:t>y</w:t>
            </w:r>
            <w:r w:rsidRPr="00FB4C14">
              <w:t xml:space="preserve"> </w:t>
            </w:r>
            <w:r w:rsidR="00504DA5">
              <w:t xml:space="preserve">individual </w:t>
            </w:r>
            <w:r w:rsidRPr="00FB4C14">
              <w:t xml:space="preserve">survey responses. This means our organisation can’t identify individuals when the data is reported  </w:t>
            </w:r>
          </w:p>
          <w:p w14:paraId="5FD940AA" w14:textId="77777777" w:rsidR="00C1207D" w:rsidRPr="00FB4C14" w:rsidRDefault="00C1207D" w:rsidP="00C1207D">
            <w:pPr>
              <w:pStyle w:val="Body"/>
              <w:keepNext/>
              <w:keepLines/>
              <w:numPr>
                <w:ilvl w:val="0"/>
                <w:numId w:val="3"/>
              </w:numPr>
              <w:spacing w:after="160"/>
            </w:pPr>
            <w:r w:rsidRPr="00FB4C14">
              <w:t>won’t collect identifying information such as name, date of birth or employee ID</w:t>
            </w:r>
            <w:r w:rsidRPr="00FB4C14" w:rsidDel="00B3707E">
              <w:t xml:space="preserve"> </w:t>
            </w:r>
          </w:p>
          <w:p w14:paraId="2C9299E4" w14:textId="77777777" w:rsidR="00C1207D" w:rsidRPr="00FB4C14" w:rsidRDefault="00C1207D" w:rsidP="00C1207D">
            <w:pPr>
              <w:pStyle w:val="Body"/>
              <w:keepNext/>
              <w:keepLines/>
              <w:numPr>
                <w:ilvl w:val="0"/>
                <w:numId w:val="3"/>
              </w:numPr>
              <w:spacing w:after="160"/>
            </w:pPr>
            <w:r w:rsidRPr="00FB4C14">
              <w:t>separate open-text responses from other data. Our organisation won’t know where the comments came from or who made them</w:t>
            </w:r>
          </w:p>
          <w:p w14:paraId="0F269B65" w14:textId="77777777" w:rsidR="00C1207D" w:rsidRPr="00FB4C14" w:rsidRDefault="00C1207D" w:rsidP="00C1207D">
            <w:pPr>
              <w:pStyle w:val="Body"/>
              <w:keepNext/>
              <w:keepLines/>
              <w:numPr>
                <w:ilvl w:val="0"/>
                <w:numId w:val="3"/>
              </w:numPr>
              <w:spacing w:after="160"/>
            </w:pPr>
            <w:r w:rsidRPr="00FB4C14">
              <w:t>won't release team or demographic group results when there are fewer than 10 responses (for example, a demographic group could be all women aged 40-49).</w:t>
            </w:r>
          </w:p>
          <w:p w14:paraId="572423D1" w14:textId="6AD5E94D" w:rsidR="00C1207D" w:rsidRPr="00FB4C14" w:rsidRDefault="00C1207D" w:rsidP="00C1207D">
            <w:pPr>
              <w:pStyle w:val="Body"/>
              <w:keepNext/>
              <w:keepLines/>
              <w:numPr>
                <w:ilvl w:val="0"/>
                <w:numId w:val="3"/>
              </w:numPr>
              <w:spacing w:after="160"/>
            </w:pPr>
            <w:r w:rsidRPr="00FB4C14">
              <w:t xml:space="preserve">won’t release demographic </w:t>
            </w:r>
            <w:r w:rsidR="00EF5A41">
              <w:t>results</w:t>
            </w:r>
            <w:r w:rsidR="003F0BA6">
              <w:t>, if</w:t>
            </w:r>
            <w:r w:rsidRPr="00FB4C14">
              <w:t xml:space="preserve"> fewer than 30 </w:t>
            </w:r>
            <w:r w:rsidR="003F0BA6">
              <w:t>people in your organisation do the survey</w:t>
            </w:r>
            <w:r w:rsidRPr="00FB4C14">
              <w:t xml:space="preserve"> </w:t>
            </w:r>
          </w:p>
          <w:p w14:paraId="207EF6A0" w14:textId="045BB87C" w:rsidR="00C1207D" w:rsidRPr="00FB4C14" w:rsidRDefault="00C1207D" w:rsidP="00C1207D">
            <w:pPr>
              <w:pStyle w:val="Body"/>
              <w:keepNext/>
              <w:keepLines/>
              <w:numPr>
                <w:ilvl w:val="0"/>
                <w:numId w:val="3"/>
              </w:numPr>
              <w:spacing w:after="160"/>
            </w:pPr>
            <w:r w:rsidRPr="00FB4C14">
              <w:t>will never share your email address and will delete it at the end of the survey period, if you use it to save and return to the survey later</w:t>
            </w:r>
          </w:p>
          <w:p w14:paraId="2940B563" w14:textId="44106A50" w:rsidR="00537F39" w:rsidRPr="00C1207D" w:rsidRDefault="00D64744" w:rsidP="00FB4C14">
            <w:pPr>
              <w:pStyle w:val="Body"/>
            </w:pPr>
            <w:r w:rsidRPr="00C1207D">
              <w:t>All information is handled in line with Victorian and Commonwealth law.</w:t>
            </w:r>
            <w:r w:rsidR="00537F39" w:rsidRPr="00C1207D">
              <w:br/>
            </w:r>
          </w:p>
          <w:p w14:paraId="2296C7DC" w14:textId="3D70BE48" w:rsidR="00E47A4E" w:rsidRPr="00C1207D" w:rsidRDefault="00E47A4E" w:rsidP="00FB4C14">
            <w:pPr>
              <w:pStyle w:val="Body"/>
            </w:pPr>
            <w:r w:rsidRPr="00C1207D">
              <w:t>We encourage you to respond honestly about your individual experience.</w:t>
            </w:r>
          </w:p>
          <w:p w14:paraId="1E3F2F10" w14:textId="77777777" w:rsidR="00D64744" w:rsidRPr="00C1207D" w:rsidRDefault="00D64744" w:rsidP="00621911">
            <w:pPr>
              <w:pStyle w:val="Body"/>
              <w:ind w:left="360"/>
            </w:pPr>
          </w:p>
          <w:p w14:paraId="78FD289D" w14:textId="61D6F2D8" w:rsidR="00D64744" w:rsidRPr="00C1207D" w:rsidRDefault="00D64744" w:rsidP="00621911">
            <w:pPr>
              <w:pStyle w:val="Body"/>
              <w:spacing w:after="160"/>
            </w:pPr>
            <w:bookmarkStart w:id="4" w:name="_Hlk130982356"/>
            <w:r w:rsidRPr="00C1207D">
              <w:t>If you</w:t>
            </w:r>
            <w:r w:rsidR="00C465A7" w:rsidRPr="00C1207D">
              <w:t xml:space="preserve"> want</w:t>
            </w:r>
            <w:r w:rsidRPr="00C1207D">
              <w:t xml:space="preserve"> to know more about privacy, there is a link to the Commission’s data collection statement included in your survey invitation or</w:t>
            </w:r>
            <w:r w:rsidR="00C465A7" w:rsidRPr="00C1207D">
              <w:t xml:space="preserve"> you can</w:t>
            </w:r>
            <w:r w:rsidR="00CC7944" w:rsidRPr="00C1207D">
              <w:t xml:space="preserve"> </w:t>
            </w:r>
            <w:r w:rsidRPr="00C1207D">
              <w:t>visit the Victorian Public Sector Commission’s website.</w:t>
            </w:r>
            <w:bookmarkEnd w:id="4"/>
          </w:p>
        </w:tc>
      </w:tr>
      <w:tr w:rsidR="00D64744" w14:paraId="1AB46E70"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tcPr>
          <w:p w14:paraId="200AB069" w14:textId="15987FC4" w:rsidR="00D64744" w:rsidRDefault="00D64744" w:rsidP="00621911">
            <w:pPr>
              <w:pStyle w:val="TableChartBody"/>
              <w:spacing w:line="264" w:lineRule="auto"/>
            </w:pPr>
            <w:r>
              <w:lastRenderedPageBreak/>
              <w:t>When will survey results be available</w:t>
            </w:r>
            <w:r w:rsidR="00C465A7">
              <w:t>?</w:t>
            </w:r>
            <w:r>
              <w:t xml:space="preserve"> </w:t>
            </w:r>
          </w:p>
          <w:p w14:paraId="551E6EFB" w14:textId="77777777" w:rsidR="00D64744" w:rsidRDefault="00D64744" w:rsidP="00621911">
            <w:pPr>
              <w:pStyle w:val="TableChartBody"/>
              <w:spacing w:line="264" w:lineRule="auto"/>
            </w:pPr>
          </w:p>
          <w:p w14:paraId="0B946DED" w14:textId="0E2F460E" w:rsidR="00D64744" w:rsidRDefault="00D64744" w:rsidP="00621911">
            <w:pPr>
              <w:pStyle w:val="TableChartBody"/>
              <w:spacing w:line="264" w:lineRule="auto"/>
              <w:rPr>
                <w:b/>
                <w:bCs/>
              </w:rPr>
            </w:pPr>
            <w:r w:rsidRPr="00033B8B">
              <w:rPr>
                <w:b/>
                <w:bCs/>
              </w:rPr>
              <w:t xml:space="preserve">(OPTIONAL TOPIC </w:t>
            </w:r>
            <w:r w:rsidR="00827419">
              <w:rPr>
                <w:b/>
                <w:bCs/>
              </w:rPr>
              <w:t>2</w:t>
            </w:r>
            <w:r w:rsidRPr="00033B8B">
              <w:rPr>
                <w:b/>
                <w:bCs/>
              </w:rPr>
              <w:t>)</w:t>
            </w:r>
          </w:p>
          <w:p w14:paraId="5849CF4C" w14:textId="77777777" w:rsidR="00D64744" w:rsidRPr="000C642C" w:rsidRDefault="00D64744" w:rsidP="00621911">
            <w:pPr>
              <w:pStyle w:val="TableChartBody"/>
              <w:spacing w:line="264" w:lineRule="auto"/>
            </w:pP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22A28B46" w14:textId="7D0A4772" w:rsidR="00D64744" w:rsidRDefault="00D64744" w:rsidP="00621911">
            <w:pPr>
              <w:pStyle w:val="TableBullet1"/>
              <w:numPr>
                <w:ilvl w:val="0"/>
                <w:numId w:val="0"/>
              </w:numPr>
              <w:spacing w:after="160"/>
            </w:pPr>
            <w:r>
              <w:t xml:space="preserve">Results from the survey will be provided to our organisation in </w:t>
            </w:r>
            <w:r w:rsidR="006F633C">
              <w:t>late June to</w:t>
            </w:r>
            <w:r w:rsidR="00957A1E">
              <w:t xml:space="preserve"> July.</w:t>
            </w:r>
            <w:r w:rsidR="003C4129">
              <w:t xml:space="preserve"> </w:t>
            </w:r>
          </w:p>
          <w:p w14:paraId="574BAF82" w14:textId="4B28BA05" w:rsidR="006706F6" w:rsidRDefault="006706F6" w:rsidP="00621911">
            <w:pPr>
              <w:pStyle w:val="TableBullet1"/>
              <w:numPr>
                <w:ilvl w:val="0"/>
                <w:numId w:val="0"/>
              </w:numPr>
              <w:spacing w:after="160"/>
            </w:pPr>
            <w:r w:rsidRPr="006F633C">
              <w:rPr>
                <w:highlight w:val="yellow"/>
              </w:rPr>
              <w:t xml:space="preserve">We will publish de-identified </w:t>
            </w:r>
            <w:r w:rsidR="00A67261" w:rsidRPr="006F633C">
              <w:rPr>
                <w:highlight w:val="yellow"/>
              </w:rPr>
              <w:t xml:space="preserve">results on our website as part of our </w:t>
            </w:r>
            <w:r w:rsidR="00F7104D" w:rsidRPr="006F633C">
              <w:rPr>
                <w:highlight w:val="yellow"/>
              </w:rPr>
              <w:t>Progress Report</w:t>
            </w:r>
            <w:r w:rsidR="00A67261" w:rsidRPr="006F633C">
              <w:rPr>
                <w:highlight w:val="yellow"/>
              </w:rPr>
              <w:t xml:space="preserve"> </w:t>
            </w:r>
            <w:r w:rsidR="002D6C44" w:rsidRPr="006F633C">
              <w:rPr>
                <w:highlight w:val="yellow"/>
              </w:rPr>
              <w:t>by</w:t>
            </w:r>
            <w:r w:rsidR="00A67261" w:rsidRPr="006F633C">
              <w:rPr>
                <w:highlight w:val="yellow"/>
              </w:rPr>
              <w:t xml:space="preserve"> </w:t>
            </w:r>
            <w:r w:rsidR="00F7104D" w:rsidRPr="006F633C">
              <w:rPr>
                <w:highlight w:val="yellow"/>
              </w:rPr>
              <w:t xml:space="preserve">early </w:t>
            </w:r>
            <w:r w:rsidR="007A189B" w:rsidRPr="006F633C">
              <w:rPr>
                <w:highlight w:val="yellow"/>
              </w:rPr>
              <w:t>202</w:t>
            </w:r>
            <w:r w:rsidR="006F633C" w:rsidRPr="006F633C">
              <w:rPr>
                <w:highlight w:val="yellow"/>
              </w:rPr>
              <w:t>6</w:t>
            </w:r>
            <w:r w:rsidR="00A67261" w:rsidRPr="006F633C">
              <w:rPr>
                <w:highlight w:val="yellow"/>
              </w:rPr>
              <w:t>.</w:t>
            </w:r>
          </w:p>
          <w:p w14:paraId="4FA8D306" w14:textId="7078F3A5" w:rsidR="00D64744" w:rsidRDefault="00D64744" w:rsidP="00621911">
            <w:pPr>
              <w:pStyle w:val="TableBullet1"/>
              <w:numPr>
                <w:ilvl w:val="0"/>
                <w:numId w:val="0"/>
              </w:numPr>
              <w:spacing w:after="160"/>
            </w:pPr>
            <w:r>
              <w:t xml:space="preserve">The </w:t>
            </w:r>
            <w:r w:rsidR="003C4129">
              <w:t>Commission for Gender Equality in the Public Sector</w:t>
            </w:r>
            <w:r w:rsidR="00A67261">
              <w:t xml:space="preserve"> also</w:t>
            </w:r>
            <w:r w:rsidR="003C4129">
              <w:t xml:space="preserve"> </w:t>
            </w:r>
            <w:r>
              <w:t xml:space="preserve">plans to publish </w:t>
            </w:r>
            <w:r w:rsidR="00F70BD8">
              <w:t xml:space="preserve">selected </w:t>
            </w:r>
            <w:r>
              <w:t xml:space="preserve">results on their </w:t>
            </w:r>
            <w:r w:rsidR="00621911">
              <w:t>I</w:t>
            </w:r>
            <w:r w:rsidR="00F70BD8">
              <w:t xml:space="preserve">nsights </w:t>
            </w:r>
            <w:r w:rsidR="00621911">
              <w:t>P</w:t>
            </w:r>
            <w:r w:rsidR="00F70BD8">
              <w:t xml:space="preserve">ortal </w:t>
            </w:r>
            <w:r>
              <w:t xml:space="preserve">in </w:t>
            </w:r>
            <w:r w:rsidR="00E174E4">
              <w:t>202</w:t>
            </w:r>
            <w:r w:rsidR="006F633C">
              <w:t>6</w:t>
            </w:r>
            <w:r>
              <w:t xml:space="preserve">. </w:t>
            </w:r>
          </w:p>
        </w:tc>
      </w:tr>
      <w:tr w:rsidR="000159CF" w14:paraId="1190B511" w14:textId="77777777" w:rsidTr="4A9FC9D4">
        <w:tc>
          <w:tcPr>
            <w:tcW w:w="2827" w:type="dxa"/>
            <w:tcBorders>
              <w:top w:val="single" w:sz="6" w:space="0" w:color="007B4B" w:themeColor="accent1"/>
              <w:left w:val="nil"/>
              <w:bottom w:val="single" w:sz="6" w:space="0" w:color="007B4B" w:themeColor="accent1"/>
              <w:right w:val="single" w:sz="6" w:space="0" w:color="007B4B" w:themeColor="accent1"/>
            </w:tcBorders>
            <w:tcMar>
              <w:top w:w="113" w:type="dxa"/>
              <w:left w:w="113" w:type="dxa"/>
              <w:bottom w:w="113" w:type="dxa"/>
              <w:right w:w="227" w:type="dxa"/>
            </w:tcMar>
          </w:tcPr>
          <w:p w14:paraId="2EBE9C3F" w14:textId="1FF74B9D" w:rsidR="000159CF" w:rsidRDefault="000159CF" w:rsidP="00621911">
            <w:pPr>
              <w:pStyle w:val="TableChartBody"/>
              <w:spacing w:line="264" w:lineRule="auto"/>
            </w:pPr>
            <w:r>
              <w:t>Where can I get more information</w:t>
            </w:r>
          </w:p>
        </w:tc>
        <w:tc>
          <w:tcPr>
            <w:tcW w:w="6243" w:type="dxa"/>
            <w:tcBorders>
              <w:top w:val="single" w:sz="6" w:space="0" w:color="007B4B" w:themeColor="accent1"/>
              <w:left w:val="single" w:sz="6" w:space="0" w:color="007B4B" w:themeColor="accent1"/>
              <w:bottom w:val="single" w:sz="6" w:space="0" w:color="007B4B" w:themeColor="accent1"/>
              <w:right w:val="nil"/>
            </w:tcBorders>
            <w:tcMar>
              <w:top w:w="113" w:type="dxa"/>
              <w:left w:w="113" w:type="dxa"/>
              <w:bottom w:w="113" w:type="dxa"/>
              <w:right w:w="227" w:type="dxa"/>
            </w:tcMar>
          </w:tcPr>
          <w:p w14:paraId="21BB1417" w14:textId="7AECC0F2" w:rsidR="007740EE" w:rsidRDefault="000159CF" w:rsidP="00621911">
            <w:pPr>
              <w:pStyle w:val="TableBullet1"/>
              <w:numPr>
                <w:ilvl w:val="0"/>
                <w:numId w:val="0"/>
              </w:numPr>
              <w:spacing w:after="160"/>
            </w:pPr>
            <w:r>
              <w:t>If you have questions about the</w:t>
            </w:r>
            <w:r w:rsidR="00BA1E3C">
              <w:t xml:space="preserve"> </w:t>
            </w:r>
            <w:r w:rsidR="00E273EC">
              <w:t>survey</w:t>
            </w:r>
            <w:r>
              <w:t>, or need support</w:t>
            </w:r>
            <w:r w:rsidR="00036A73">
              <w:t xml:space="preserve">, please contact our survey coordinator </w:t>
            </w:r>
            <w:r w:rsidR="00036A73" w:rsidRPr="00FF2057">
              <w:rPr>
                <w:b/>
                <w:bCs/>
                <w:highlight w:val="yellow"/>
              </w:rPr>
              <w:t>&lt;</w:t>
            </w:r>
            <w:r w:rsidR="00FA41E9" w:rsidRPr="00FF2057">
              <w:rPr>
                <w:b/>
                <w:bCs/>
                <w:highlight w:val="yellow"/>
              </w:rPr>
              <w:t>NAME</w:t>
            </w:r>
            <w:proofErr w:type="gramStart"/>
            <w:r w:rsidR="00FA41E9" w:rsidRPr="00FF2057">
              <w:rPr>
                <w:b/>
                <w:bCs/>
                <w:highlight w:val="yellow"/>
              </w:rPr>
              <w:t>&gt;</w:t>
            </w:r>
            <w:r w:rsidR="00FA41E9" w:rsidRPr="00FF2057">
              <w:rPr>
                <w:highlight w:val="yellow"/>
              </w:rPr>
              <w:t xml:space="preserve"> </w:t>
            </w:r>
            <w:r w:rsidR="00C465A7" w:rsidRPr="00FF2057">
              <w:rPr>
                <w:highlight w:val="yellow"/>
              </w:rPr>
              <w:t>.</w:t>
            </w:r>
            <w:proofErr w:type="gramEnd"/>
          </w:p>
          <w:p w14:paraId="617CF35A" w14:textId="4EA60C4C" w:rsidR="000159CF" w:rsidRDefault="007740EE" w:rsidP="00621911">
            <w:pPr>
              <w:pStyle w:val="TableBullet1"/>
              <w:numPr>
                <w:ilvl w:val="0"/>
                <w:numId w:val="0"/>
              </w:numPr>
              <w:spacing w:after="160"/>
            </w:pPr>
            <w:r>
              <w:t>O</w:t>
            </w:r>
            <w:r w:rsidR="00FA41E9">
              <w:t xml:space="preserve">r contact the Commission for Gender Equality in the Public Sector on </w:t>
            </w:r>
            <w:hyperlink r:id="rId12" w:history="1">
              <w:r w:rsidRPr="004924E8">
                <w:rPr>
                  <w:rStyle w:val="Hyperlink"/>
                </w:rPr>
                <w:t>enquiries@genderequalitycommission.vic.gov.au</w:t>
              </w:r>
            </w:hyperlink>
            <w:r>
              <w:t xml:space="preserve"> </w:t>
            </w:r>
          </w:p>
        </w:tc>
      </w:tr>
    </w:tbl>
    <w:p w14:paraId="6E62B64F" w14:textId="77777777" w:rsidR="00D64744" w:rsidRDefault="00D64744" w:rsidP="00D64744">
      <w:pPr>
        <w:pStyle w:val="Footer"/>
      </w:pPr>
    </w:p>
    <w:p w14:paraId="22744AE3" w14:textId="77777777" w:rsidR="00382A53" w:rsidRDefault="00382A53"/>
    <w:sectPr w:rsidR="00382A53" w:rsidSect="00621911">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40A2" w14:textId="77777777" w:rsidR="00BA7BCE" w:rsidRDefault="00BA7BCE" w:rsidP="00D64744">
      <w:r>
        <w:separator/>
      </w:r>
    </w:p>
  </w:endnote>
  <w:endnote w:type="continuationSeparator" w:id="0">
    <w:p w14:paraId="69D586C5" w14:textId="77777777" w:rsidR="00BA7BCE" w:rsidRDefault="00BA7BCE" w:rsidP="00D64744">
      <w:r>
        <w:continuationSeparator/>
      </w:r>
    </w:p>
  </w:endnote>
  <w:endnote w:type="continuationNotice" w:id="1">
    <w:p w14:paraId="7E371206" w14:textId="77777777" w:rsidR="00BA7BCE" w:rsidRDefault="00BA7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72CE" w14:textId="77777777" w:rsidR="006F633C" w:rsidRDefault="006F6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128E" w14:textId="19F55A93" w:rsidR="006F633C" w:rsidRDefault="00D64744">
    <w:pPr>
      <w:pStyle w:val="Footer"/>
      <w:jc w:val="right"/>
    </w:pPr>
    <w:r>
      <w:rPr>
        <w:noProof/>
      </w:rPr>
      <mc:AlternateContent>
        <mc:Choice Requires="wps">
          <w:drawing>
            <wp:anchor distT="0" distB="0" distL="114300" distR="114300" simplePos="0" relativeHeight="251658242" behindDoc="0" locked="0" layoutInCell="0" allowOverlap="1" wp14:anchorId="5BF8E05F" wp14:editId="2C2D72E4">
              <wp:simplePos x="0" y="0"/>
              <wp:positionH relativeFrom="page">
                <wp:posOffset>0</wp:posOffset>
              </wp:positionH>
              <wp:positionV relativeFrom="page">
                <wp:posOffset>10234930</wp:posOffset>
              </wp:positionV>
              <wp:extent cx="7560310" cy="266700"/>
              <wp:effectExtent l="0" t="0" r="2540" b="4445"/>
              <wp:wrapNone/>
              <wp:docPr id="2" name="Text Box 2"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2FD64" w14:textId="77777777" w:rsidR="006F633C" w:rsidRPr="00F91DC7" w:rsidRDefault="008C7533" w:rsidP="00621911">
                          <w:pPr>
                            <w:rPr>
                              <w:rFonts w:ascii="Calibri" w:hAnsi="Calibri" w:cs="Calibri"/>
                              <w:color w:val="000000"/>
                            </w:rPr>
                          </w:pPr>
                          <w:r w:rsidRPr="00F91DC7">
                            <w:rPr>
                              <w:rFonts w:ascii="Calibri" w:hAnsi="Calibri" w:cs="Calibri"/>
                              <w:color w:val="000000"/>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BF8E05F">
              <v:stroke joinstyle="miter"/>
              <v:path gradientshapeok="t" o:connecttype="rect"/>
            </v:shapetype>
            <v:shape id="Text Box 2" style="position:absolute;left:0;text-align:left;margin-left:0;margin-top:805.9pt;width:595.3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267603503,&quot;Height&quot;:841.0,&quot;Width&quot;:595.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mE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">
              <v:textbox inset="20pt,0,,0">
                <w:txbxContent>
                  <w:p w:rsidRPr="00F91DC7" w:rsidR="00F91DC7" w:rsidP="00F91DC7" w:rsidRDefault="008C7533" w14:paraId="04A2FD64" w14:textId="77777777">
                    <w:pPr>
                      <w:rPr>
                        <w:rFonts w:ascii="Calibri" w:hAnsi="Calibri" w:cs="Calibri"/>
                        <w:color w:val="000000"/>
                      </w:rPr>
                    </w:pPr>
                    <w:r w:rsidRPr="00F91DC7">
                      <w:rPr>
                        <w:rFonts w:ascii="Calibri" w:hAnsi="Calibri" w:cs="Calibri"/>
                        <w:color w:val="000000"/>
                      </w:rPr>
                      <w:t>OFFICIAL</w:t>
                    </w:r>
                  </w:p>
                </w:txbxContent>
              </v:textbox>
              <w10:wrap anchorx="page" anchory="page"/>
            </v:shape>
          </w:pict>
        </mc:Fallback>
      </mc:AlternateContent>
    </w:r>
    <w:r w:rsidR="008C7533">
      <w:fldChar w:fldCharType="begin"/>
    </w:r>
    <w:r w:rsidR="008C7533">
      <w:instrText xml:space="preserve"> PAGE   \* MERGEFORMAT </w:instrText>
    </w:r>
    <w:r w:rsidR="008C7533">
      <w:fldChar w:fldCharType="separate"/>
    </w:r>
    <w:r w:rsidR="008C7533">
      <w:rPr>
        <w:noProof/>
      </w:rPr>
      <w:t>2</w:t>
    </w:r>
    <w:r w:rsidR="008C7533">
      <w:rPr>
        <w:noProof/>
      </w:rPr>
      <w:fldChar w:fldCharType="end"/>
    </w:r>
  </w:p>
  <w:p w14:paraId="5D527819" w14:textId="77777777" w:rsidR="006F633C" w:rsidRDefault="006F6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D5ED" w14:textId="47FAB84A" w:rsidR="006F633C" w:rsidRPr="00A9365E" w:rsidRDefault="00D64744" w:rsidP="00621911">
    <w:pPr>
      <w:pStyle w:val="Footer"/>
    </w:pPr>
    <w:r>
      <w:rPr>
        <w:noProof/>
      </w:rPr>
      <mc:AlternateContent>
        <mc:Choice Requires="wps">
          <w:drawing>
            <wp:anchor distT="0" distB="0" distL="114300" distR="114300" simplePos="0" relativeHeight="251658243" behindDoc="0" locked="0" layoutInCell="0" allowOverlap="1" wp14:anchorId="75C47719" wp14:editId="3A2F3503">
              <wp:simplePos x="0" y="0"/>
              <wp:positionH relativeFrom="page">
                <wp:posOffset>0</wp:posOffset>
              </wp:positionH>
              <wp:positionV relativeFrom="page">
                <wp:posOffset>10234930</wp:posOffset>
              </wp:positionV>
              <wp:extent cx="7560310" cy="266700"/>
              <wp:effectExtent l="0" t="0" r="2540" b="4445"/>
              <wp:wrapNone/>
              <wp:docPr id="1" name="Text Box 1" descr="{&quot;HashCode&quot;:-1267603503,&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3B64" w14:textId="77777777" w:rsidR="006F633C" w:rsidRPr="00F91DC7" w:rsidRDefault="008C7533" w:rsidP="00621911">
                          <w:pPr>
                            <w:rPr>
                              <w:rFonts w:ascii="Calibri" w:hAnsi="Calibri" w:cs="Calibri"/>
                              <w:color w:val="000000"/>
                            </w:rPr>
                          </w:pPr>
                          <w:r w:rsidRPr="00F91DC7">
                            <w:rPr>
                              <w:rFonts w:ascii="Calibri" w:hAnsi="Calibri" w:cs="Calibri"/>
                              <w:color w:val="000000"/>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75C47719">
              <v:stroke joinstyle="miter"/>
              <v:path gradientshapeok="t" o:connecttype="rect"/>
            </v:shapetype>
            <v:shape id="Text Box 1" style="position:absolute;margin-left:0;margin-top:805.9pt;width:595.3pt;height: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267603503,&quot;Height&quot;:841.0,&quot;Width&quot;:595.0,&quot;Placement&quot;:&quot;Foot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">
              <v:textbox inset="20pt,0,,0">
                <w:txbxContent>
                  <w:p w:rsidRPr="00F91DC7" w:rsidR="00F91DC7" w:rsidP="00F91DC7" w:rsidRDefault="008C7533" w14:paraId="4A523B64" w14:textId="77777777">
                    <w:pPr>
                      <w:rPr>
                        <w:rFonts w:ascii="Calibri" w:hAnsi="Calibri" w:cs="Calibri"/>
                        <w:color w:val="000000"/>
                      </w:rPr>
                    </w:pPr>
                    <w:r w:rsidRPr="00F91DC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0D19EB14" wp14:editId="1DC61ACB">
              <wp:simplePos x="0" y="0"/>
              <wp:positionH relativeFrom="page">
                <wp:posOffset>0</wp:posOffset>
              </wp:positionH>
              <wp:positionV relativeFrom="page">
                <wp:posOffset>10234930</wp:posOffset>
              </wp:positionV>
              <wp:extent cx="7560310" cy="266700"/>
              <wp:effectExtent l="0" t="0" r="0" b="0"/>
              <wp:wrapNone/>
              <wp:docPr id="8" name="Text Box 8" descr="{&quot;HashCode&quot;:-1267603503,&quot;Height&quot;:841.0,&quot;Width&quot;:595.0,&quot;Placement&quot;:&quot;Footer&quot;,&quot;Index&quot;:&quot;FirstPage&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06A05" w14:textId="77777777" w:rsidR="006F633C" w:rsidRPr="006D34F4" w:rsidRDefault="008C7533" w:rsidP="00621911">
                          <w:pPr>
                            <w:rPr>
                              <w:rFonts w:ascii="Calibri" w:hAnsi="Calibri" w:cs="Calibri"/>
                              <w:color w:val="000000"/>
                            </w:rPr>
                          </w:pPr>
                          <w:r w:rsidRPr="006D34F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8"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267603503,&quot;Height&quot;:841.0,&quot;Width&quot;:595.0,&quot;Placement&quot;:&quot;Footer&quot;,&quot;Index&quot;:&quot;FirstPage&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" w14:anchorId="0D19EB14">
              <v:path arrowok="t"/>
              <v:textbox inset="20pt,0,,0">
                <w:txbxContent>
                  <w:p w:rsidRPr="006D34F4" w:rsidR="006D34F4" w:rsidP="006D34F4" w:rsidRDefault="008C7533" w14:paraId="29306A05" w14:textId="77777777">
                    <w:pPr>
                      <w:rPr>
                        <w:rFonts w:ascii="Calibri" w:hAnsi="Calibri" w:cs="Calibri"/>
                        <w:color w:val="000000"/>
                      </w:rPr>
                    </w:pPr>
                    <w:r w:rsidRPr="006D34F4">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365C0E72" wp14:editId="6B96E869">
              <wp:simplePos x="0" y="0"/>
              <wp:positionH relativeFrom="page">
                <wp:posOffset>0</wp:posOffset>
              </wp:positionH>
              <wp:positionV relativeFrom="page">
                <wp:posOffset>10234930</wp:posOffset>
              </wp:positionV>
              <wp:extent cx="7560310" cy="266700"/>
              <wp:effectExtent l="0" t="0" r="0" b="0"/>
              <wp:wrapNone/>
              <wp:docPr id="5" name="Text Box 5" descr="{&quot;HashCode&quot;:-1267603503,&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58B61" w14:textId="77777777" w:rsidR="006F633C" w:rsidRPr="006E072E" w:rsidRDefault="008C7533" w:rsidP="00621911">
                          <w:pPr>
                            <w:rPr>
                              <w:rFonts w:ascii="Calibri" w:hAnsi="Calibri" w:cs="Calibri"/>
                              <w:color w:val="000000"/>
                            </w:rPr>
                          </w:pPr>
                          <w:r w:rsidRPr="006E072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5"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267603503,&quot;Height&quot;:841.0,&quot;Width&quot;:595.0,&quot;Placement&quot;:&quot;Foot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" w14:anchorId="365C0E72">
              <v:path arrowok="t"/>
              <v:textbox inset="20pt,0,,0">
                <w:txbxContent>
                  <w:p w:rsidRPr="006E072E" w:rsidR="006E072E" w:rsidP="006E072E" w:rsidRDefault="008C7533" w14:paraId="1F458B61" w14:textId="77777777">
                    <w:pPr>
                      <w:rPr>
                        <w:rFonts w:ascii="Calibri" w:hAnsi="Calibri" w:cs="Calibri"/>
                        <w:color w:val="000000"/>
                      </w:rPr>
                    </w:pPr>
                    <w:r w:rsidRPr="006E072E">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7FED" w14:textId="77777777" w:rsidR="00BA7BCE" w:rsidRDefault="00BA7BCE" w:rsidP="00D64744">
      <w:r>
        <w:separator/>
      </w:r>
    </w:p>
  </w:footnote>
  <w:footnote w:type="continuationSeparator" w:id="0">
    <w:p w14:paraId="535F1418" w14:textId="77777777" w:rsidR="00BA7BCE" w:rsidRDefault="00BA7BCE" w:rsidP="00D64744">
      <w:r>
        <w:continuationSeparator/>
      </w:r>
    </w:p>
  </w:footnote>
  <w:footnote w:type="continuationNotice" w:id="1">
    <w:p w14:paraId="755E1303" w14:textId="77777777" w:rsidR="00BA7BCE" w:rsidRDefault="00BA7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A989" w14:textId="77777777" w:rsidR="006F633C" w:rsidRDefault="006F6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A3DB" w14:textId="2A61C6F6" w:rsidR="006F633C" w:rsidRDefault="006F6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475B" w14:textId="77777777" w:rsidR="006F633C" w:rsidRDefault="006F6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947"/>
    <w:multiLevelType w:val="hybridMultilevel"/>
    <w:tmpl w:val="50E25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854D7"/>
    <w:multiLevelType w:val="hybridMultilevel"/>
    <w:tmpl w:val="4030E3CE"/>
    <w:lvl w:ilvl="0" w:tplc="0C090001">
      <w:start w:val="1"/>
      <w:numFmt w:val="bullet"/>
      <w:lvlText w:val=""/>
      <w:lvlJc w:val="left"/>
      <w:pPr>
        <w:ind w:left="360" w:hanging="360"/>
      </w:pPr>
      <w:rPr>
        <w:rFonts w:ascii="Symbol" w:hAnsi="Symbol" w:hint="default"/>
      </w:rPr>
    </w:lvl>
    <w:lvl w:ilvl="1" w:tplc="57F01E3C">
      <w:numFmt w:val="bullet"/>
      <w:lvlText w:val="•"/>
      <w:lvlJc w:val="left"/>
      <w:pPr>
        <w:ind w:left="1440" w:hanging="720"/>
      </w:pPr>
      <w:rPr>
        <w:rFonts w:ascii="VIC" w:eastAsiaTheme="minorHAnsi" w:hAnsi="VIC"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B5515"/>
    <w:multiLevelType w:val="hybridMultilevel"/>
    <w:tmpl w:val="5D169F38"/>
    <w:lvl w:ilvl="0" w:tplc="0DB682F0">
      <w:start w:val="1"/>
      <w:numFmt w:val="bullet"/>
      <w:pStyle w:val="TableBullet1"/>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0FA452"/>
    <w:multiLevelType w:val="hybridMultilevel"/>
    <w:tmpl w:val="0444EA68"/>
    <w:lvl w:ilvl="0" w:tplc="1F80FB26">
      <w:start w:val="1"/>
      <w:numFmt w:val="bullet"/>
      <w:lvlText w:val=""/>
      <w:lvlJc w:val="left"/>
      <w:pPr>
        <w:ind w:left="567" w:hanging="567"/>
      </w:pPr>
      <w:rPr>
        <w:rFonts w:ascii="Symbol" w:hAnsi="Symbol" w:hint="default"/>
      </w:rPr>
    </w:lvl>
    <w:lvl w:ilvl="1" w:tplc="91A8879E">
      <w:start w:val="1"/>
      <w:numFmt w:val="bullet"/>
      <w:lvlText w:val="o"/>
      <w:lvlJc w:val="left"/>
      <w:pPr>
        <w:ind w:left="1440" w:hanging="360"/>
      </w:pPr>
      <w:rPr>
        <w:rFonts w:ascii="Courier New" w:hAnsi="Courier New" w:hint="default"/>
      </w:rPr>
    </w:lvl>
    <w:lvl w:ilvl="2" w:tplc="4B7C6246">
      <w:start w:val="1"/>
      <w:numFmt w:val="bullet"/>
      <w:lvlText w:val=""/>
      <w:lvlJc w:val="left"/>
      <w:pPr>
        <w:ind w:left="2160" w:hanging="360"/>
      </w:pPr>
      <w:rPr>
        <w:rFonts w:ascii="Wingdings" w:hAnsi="Wingdings" w:hint="default"/>
      </w:rPr>
    </w:lvl>
    <w:lvl w:ilvl="3" w:tplc="70C012E8">
      <w:start w:val="1"/>
      <w:numFmt w:val="bullet"/>
      <w:lvlText w:val=""/>
      <w:lvlJc w:val="left"/>
      <w:pPr>
        <w:ind w:left="2880" w:hanging="360"/>
      </w:pPr>
      <w:rPr>
        <w:rFonts w:ascii="Symbol" w:hAnsi="Symbol" w:hint="default"/>
      </w:rPr>
    </w:lvl>
    <w:lvl w:ilvl="4" w:tplc="C818C26A">
      <w:start w:val="1"/>
      <w:numFmt w:val="bullet"/>
      <w:lvlText w:val="o"/>
      <w:lvlJc w:val="left"/>
      <w:pPr>
        <w:ind w:left="3600" w:hanging="360"/>
      </w:pPr>
      <w:rPr>
        <w:rFonts w:ascii="Courier New" w:hAnsi="Courier New" w:hint="default"/>
      </w:rPr>
    </w:lvl>
    <w:lvl w:ilvl="5" w:tplc="D2BAE14C">
      <w:start w:val="1"/>
      <w:numFmt w:val="bullet"/>
      <w:lvlText w:val=""/>
      <w:lvlJc w:val="left"/>
      <w:pPr>
        <w:ind w:left="4320" w:hanging="360"/>
      </w:pPr>
      <w:rPr>
        <w:rFonts w:ascii="Wingdings" w:hAnsi="Wingdings" w:hint="default"/>
      </w:rPr>
    </w:lvl>
    <w:lvl w:ilvl="6" w:tplc="BC9A1148">
      <w:start w:val="1"/>
      <w:numFmt w:val="bullet"/>
      <w:lvlText w:val=""/>
      <w:lvlJc w:val="left"/>
      <w:pPr>
        <w:ind w:left="5040" w:hanging="360"/>
      </w:pPr>
      <w:rPr>
        <w:rFonts w:ascii="Symbol" w:hAnsi="Symbol" w:hint="default"/>
      </w:rPr>
    </w:lvl>
    <w:lvl w:ilvl="7" w:tplc="7CAC79D4">
      <w:start w:val="1"/>
      <w:numFmt w:val="bullet"/>
      <w:lvlText w:val="o"/>
      <w:lvlJc w:val="left"/>
      <w:pPr>
        <w:ind w:left="5760" w:hanging="360"/>
      </w:pPr>
      <w:rPr>
        <w:rFonts w:ascii="Courier New" w:hAnsi="Courier New" w:hint="default"/>
      </w:rPr>
    </w:lvl>
    <w:lvl w:ilvl="8" w:tplc="5F3288BA">
      <w:start w:val="1"/>
      <w:numFmt w:val="bullet"/>
      <w:lvlText w:val=""/>
      <w:lvlJc w:val="left"/>
      <w:pPr>
        <w:ind w:left="6480" w:hanging="360"/>
      </w:pPr>
      <w:rPr>
        <w:rFonts w:ascii="Wingdings" w:hAnsi="Wingdings" w:hint="default"/>
      </w:rPr>
    </w:lvl>
  </w:abstractNum>
  <w:num w:numId="1" w16cid:durableId="1831797033">
    <w:abstractNumId w:val="2"/>
  </w:num>
  <w:num w:numId="2" w16cid:durableId="1947688099">
    <w:abstractNumId w:val="3"/>
  </w:num>
  <w:num w:numId="3" w16cid:durableId="1383552249">
    <w:abstractNumId w:val="0"/>
  </w:num>
  <w:num w:numId="4" w16cid:durableId="1635678941">
    <w:abstractNumId w:val="1"/>
  </w:num>
  <w:num w:numId="5" w16cid:durableId="1974600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44"/>
    <w:rsid w:val="000037CA"/>
    <w:rsid w:val="00007AD9"/>
    <w:rsid w:val="00011CCB"/>
    <w:rsid w:val="000154DB"/>
    <w:rsid w:val="000159CF"/>
    <w:rsid w:val="00036A73"/>
    <w:rsid w:val="0009267F"/>
    <w:rsid w:val="000C3E91"/>
    <w:rsid w:val="000E1015"/>
    <w:rsid w:val="000E257A"/>
    <w:rsid w:val="000E61CE"/>
    <w:rsid w:val="000F78D6"/>
    <w:rsid w:val="00162644"/>
    <w:rsid w:val="00171A72"/>
    <w:rsid w:val="0018207B"/>
    <w:rsid w:val="001A39DB"/>
    <w:rsid w:val="001C1CD4"/>
    <w:rsid w:val="001C6B75"/>
    <w:rsid w:val="0026039A"/>
    <w:rsid w:val="00264A2B"/>
    <w:rsid w:val="002723E0"/>
    <w:rsid w:val="002752B1"/>
    <w:rsid w:val="002841D3"/>
    <w:rsid w:val="00284A09"/>
    <w:rsid w:val="00292F8F"/>
    <w:rsid w:val="002D238D"/>
    <w:rsid w:val="002D6C44"/>
    <w:rsid w:val="002F3BAA"/>
    <w:rsid w:val="0031040F"/>
    <w:rsid w:val="00314805"/>
    <w:rsid w:val="00345C12"/>
    <w:rsid w:val="0035269D"/>
    <w:rsid w:val="003818D5"/>
    <w:rsid w:val="00382A53"/>
    <w:rsid w:val="00386ADD"/>
    <w:rsid w:val="003871B5"/>
    <w:rsid w:val="00392C61"/>
    <w:rsid w:val="003C0FD8"/>
    <w:rsid w:val="003C4129"/>
    <w:rsid w:val="003D30DE"/>
    <w:rsid w:val="003E61C1"/>
    <w:rsid w:val="003E7B1B"/>
    <w:rsid w:val="003F0BA6"/>
    <w:rsid w:val="00425870"/>
    <w:rsid w:val="00431129"/>
    <w:rsid w:val="00432F49"/>
    <w:rsid w:val="00440CCC"/>
    <w:rsid w:val="00480A83"/>
    <w:rsid w:val="00484570"/>
    <w:rsid w:val="00486CD2"/>
    <w:rsid w:val="00497ECD"/>
    <w:rsid w:val="004A6057"/>
    <w:rsid w:val="004C5BB6"/>
    <w:rsid w:val="004D39BC"/>
    <w:rsid w:val="004F4BE7"/>
    <w:rsid w:val="00504DA5"/>
    <w:rsid w:val="005158FE"/>
    <w:rsid w:val="00521DBA"/>
    <w:rsid w:val="00537F39"/>
    <w:rsid w:val="00542E02"/>
    <w:rsid w:val="00544E00"/>
    <w:rsid w:val="005705BB"/>
    <w:rsid w:val="00584D28"/>
    <w:rsid w:val="005B457B"/>
    <w:rsid w:val="005D7265"/>
    <w:rsid w:val="00621911"/>
    <w:rsid w:val="00622B5A"/>
    <w:rsid w:val="006706F6"/>
    <w:rsid w:val="00694761"/>
    <w:rsid w:val="006B3D22"/>
    <w:rsid w:val="006E6147"/>
    <w:rsid w:val="006F633C"/>
    <w:rsid w:val="00730381"/>
    <w:rsid w:val="00736E9E"/>
    <w:rsid w:val="00744F01"/>
    <w:rsid w:val="007678EF"/>
    <w:rsid w:val="007740EE"/>
    <w:rsid w:val="00783E0D"/>
    <w:rsid w:val="00785135"/>
    <w:rsid w:val="007934E5"/>
    <w:rsid w:val="007937D9"/>
    <w:rsid w:val="007A189B"/>
    <w:rsid w:val="007B2690"/>
    <w:rsid w:val="007D378A"/>
    <w:rsid w:val="007F0F9D"/>
    <w:rsid w:val="007F2967"/>
    <w:rsid w:val="00827024"/>
    <w:rsid w:val="00827419"/>
    <w:rsid w:val="0083123B"/>
    <w:rsid w:val="00861884"/>
    <w:rsid w:val="00875048"/>
    <w:rsid w:val="008756CB"/>
    <w:rsid w:val="008A12CF"/>
    <w:rsid w:val="008B4C05"/>
    <w:rsid w:val="008C7533"/>
    <w:rsid w:val="008E51BB"/>
    <w:rsid w:val="008F6F30"/>
    <w:rsid w:val="00907561"/>
    <w:rsid w:val="0092310F"/>
    <w:rsid w:val="00933555"/>
    <w:rsid w:val="00935C75"/>
    <w:rsid w:val="00937365"/>
    <w:rsid w:val="00957A1E"/>
    <w:rsid w:val="00972C40"/>
    <w:rsid w:val="009833EF"/>
    <w:rsid w:val="009F5F27"/>
    <w:rsid w:val="00A121A6"/>
    <w:rsid w:val="00A402E8"/>
    <w:rsid w:val="00A571CB"/>
    <w:rsid w:val="00A67261"/>
    <w:rsid w:val="00AD1608"/>
    <w:rsid w:val="00AE686E"/>
    <w:rsid w:val="00AF61EA"/>
    <w:rsid w:val="00B0202E"/>
    <w:rsid w:val="00B142A6"/>
    <w:rsid w:val="00B1467B"/>
    <w:rsid w:val="00B33079"/>
    <w:rsid w:val="00B741FD"/>
    <w:rsid w:val="00BA1E3C"/>
    <w:rsid w:val="00BA5DCE"/>
    <w:rsid w:val="00BA7BCE"/>
    <w:rsid w:val="00BC0ED1"/>
    <w:rsid w:val="00BE667F"/>
    <w:rsid w:val="00BF48C7"/>
    <w:rsid w:val="00C05364"/>
    <w:rsid w:val="00C11DA0"/>
    <w:rsid w:val="00C1207D"/>
    <w:rsid w:val="00C1259F"/>
    <w:rsid w:val="00C26A3D"/>
    <w:rsid w:val="00C27DF8"/>
    <w:rsid w:val="00C3018D"/>
    <w:rsid w:val="00C320BB"/>
    <w:rsid w:val="00C409BC"/>
    <w:rsid w:val="00C45255"/>
    <w:rsid w:val="00C465A7"/>
    <w:rsid w:val="00C54210"/>
    <w:rsid w:val="00CC7944"/>
    <w:rsid w:val="00CE4475"/>
    <w:rsid w:val="00CF07B3"/>
    <w:rsid w:val="00CF7F1A"/>
    <w:rsid w:val="00D028DD"/>
    <w:rsid w:val="00D03285"/>
    <w:rsid w:val="00D24537"/>
    <w:rsid w:val="00D324DF"/>
    <w:rsid w:val="00D5678E"/>
    <w:rsid w:val="00D64744"/>
    <w:rsid w:val="00DB5A70"/>
    <w:rsid w:val="00DE1F01"/>
    <w:rsid w:val="00E05AEF"/>
    <w:rsid w:val="00E12195"/>
    <w:rsid w:val="00E174E4"/>
    <w:rsid w:val="00E23946"/>
    <w:rsid w:val="00E25EE3"/>
    <w:rsid w:val="00E273EC"/>
    <w:rsid w:val="00E275CA"/>
    <w:rsid w:val="00E304F7"/>
    <w:rsid w:val="00E4664A"/>
    <w:rsid w:val="00E47A4E"/>
    <w:rsid w:val="00E55890"/>
    <w:rsid w:val="00E64230"/>
    <w:rsid w:val="00E852D6"/>
    <w:rsid w:val="00E90C35"/>
    <w:rsid w:val="00ED550D"/>
    <w:rsid w:val="00EF3387"/>
    <w:rsid w:val="00EF5A41"/>
    <w:rsid w:val="00F0322B"/>
    <w:rsid w:val="00F03490"/>
    <w:rsid w:val="00F5241E"/>
    <w:rsid w:val="00F70BD8"/>
    <w:rsid w:val="00F7104D"/>
    <w:rsid w:val="00FA41E9"/>
    <w:rsid w:val="00FB4C14"/>
    <w:rsid w:val="00FB7171"/>
    <w:rsid w:val="00FC40E5"/>
    <w:rsid w:val="00FC75DE"/>
    <w:rsid w:val="00FF2057"/>
    <w:rsid w:val="0B1C8653"/>
    <w:rsid w:val="13D01F2E"/>
    <w:rsid w:val="2672DE42"/>
    <w:rsid w:val="2B25FFB0"/>
    <w:rsid w:val="30582F78"/>
    <w:rsid w:val="3BD7AD35"/>
    <w:rsid w:val="48D00266"/>
    <w:rsid w:val="4A9FC9D4"/>
    <w:rsid w:val="57E12866"/>
    <w:rsid w:val="5DCBFBEA"/>
    <w:rsid w:val="684A8B61"/>
    <w:rsid w:val="6DBE26F9"/>
    <w:rsid w:val="702F71E9"/>
    <w:rsid w:val="70BDB564"/>
    <w:rsid w:val="7A05350D"/>
    <w:rsid w:val="7CAE466D"/>
    <w:rsid w:val="7DA5C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1DA1"/>
  <w15:chartTrackingRefBased/>
  <w15:docId w15:val="{7BC65935-A1DC-45AF-A628-2C1DAC25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44"/>
    <w:pPr>
      <w:spacing w:after="0" w:line="240" w:lineRule="auto"/>
    </w:pPr>
    <w:rPr>
      <w:rFonts w:ascii="VIC" w:eastAsia="VIC" w:hAnsi="VIC" w:cs="Times New Roman"/>
    </w:rPr>
  </w:style>
  <w:style w:type="paragraph" w:styleId="Heading2">
    <w:name w:val="heading 2"/>
    <w:link w:val="Heading2Char"/>
    <w:uiPriority w:val="9"/>
    <w:unhideWhenUsed/>
    <w:qFormat/>
    <w:rsid w:val="00D64744"/>
    <w:pPr>
      <w:keepNext/>
      <w:keepLines/>
      <w:spacing w:before="320" w:line="288" w:lineRule="auto"/>
      <w:outlineLvl w:val="1"/>
    </w:pPr>
    <w:rPr>
      <w:rFonts w:ascii="VIC SemiBold" w:eastAsia="VIC" w:hAnsi="VIC SemiBold" w:cs="Times New Roman"/>
      <w:color w:val="00573F"/>
      <w:sz w:val="32"/>
      <w:szCs w:val="32"/>
    </w:rPr>
  </w:style>
  <w:style w:type="paragraph" w:styleId="Heading3">
    <w:name w:val="heading 3"/>
    <w:link w:val="Heading3Char"/>
    <w:uiPriority w:val="9"/>
    <w:unhideWhenUsed/>
    <w:qFormat/>
    <w:rsid w:val="00D64744"/>
    <w:pPr>
      <w:keepNext/>
      <w:keepLines/>
      <w:spacing w:before="280" w:after="140" w:line="288" w:lineRule="auto"/>
      <w:outlineLvl w:val="2"/>
    </w:pPr>
    <w:rPr>
      <w:rFonts w:ascii="VIC" w:eastAsia="VIC" w:hAnsi="VIC" w:cs="Times New Roman"/>
      <w:color w:val="53565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744"/>
    <w:rPr>
      <w:rFonts w:ascii="VIC SemiBold" w:eastAsia="VIC" w:hAnsi="VIC SemiBold" w:cs="Times New Roman"/>
      <w:color w:val="00573F"/>
      <w:sz w:val="32"/>
      <w:szCs w:val="32"/>
    </w:rPr>
  </w:style>
  <w:style w:type="character" w:customStyle="1" w:styleId="Heading3Char">
    <w:name w:val="Heading 3 Char"/>
    <w:basedOn w:val="DefaultParagraphFont"/>
    <w:link w:val="Heading3"/>
    <w:uiPriority w:val="9"/>
    <w:rsid w:val="00D64744"/>
    <w:rPr>
      <w:rFonts w:ascii="VIC" w:eastAsia="VIC" w:hAnsi="VIC" w:cs="Times New Roman"/>
      <w:color w:val="53565A"/>
      <w:sz w:val="28"/>
      <w:szCs w:val="28"/>
    </w:rPr>
  </w:style>
  <w:style w:type="paragraph" w:styleId="Header">
    <w:name w:val="header"/>
    <w:link w:val="HeaderChar"/>
    <w:uiPriority w:val="99"/>
    <w:unhideWhenUsed/>
    <w:rsid w:val="00D64744"/>
    <w:pPr>
      <w:keepNext/>
      <w:keepLines/>
      <w:spacing w:line="288" w:lineRule="auto"/>
      <w:contextualSpacing/>
    </w:pPr>
    <w:rPr>
      <w:rFonts w:ascii="VIC SemiBold" w:eastAsia="VIC" w:hAnsi="VIC SemiBold" w:cs="Times New Roman"/>
      <w:color w:val="00573F"/>
      <w:sz w:val="18"/>
      <w:szCs w:val="18"/>
    </w:rPr>
  </w:style>
  <w:style w:type="character" w:customStyle="1" w:styleId="HeaderChar">
    <w:name w:val="Header Char"/>
    <w:basedOn w:val="DefaultParagraphFont"/>
    <w:link w:val="Header"/>
    <w:uiPriority w:val="99"/>
    <w:rsid w:val="00D64744"/>
    <w:rPr>
      <w:rFonts w:ascii="VIC SemiBold" w:eastAsia="VIC" w:hAnsi="VIC SemiBold" w:cs="Times New Roman"/>
      <w:color w:val="00573F"/>
      <w:sz w:val="18"/>
      <w:szCs w:val="18"/>
    </w:rPr>
  </w:style>
  <w:style w:type="paragraph" w:styleId="Footer">
    <w:name w:val="footer"/>
    <w:link w:val="FooterChar"/>
    <w:uiPriority w:val="99"/>
    <w:unhideWhenUsed/>
    <w:rsid w:val="00D64744"/>
    <w:pPr>
      <w:keepNext/>
      <w:keepLines/>
      <w:spacing w:line="288" w:lineRule="auto"/>
    </w:pPr>
    <w:rPr>
      <w:rFonts w:ascii="VIC SemiBold" w:eastAsia="VIC" w:hAnsi="VIC SemiBold" w:cs="Times New Roman"/>
      <w:color w:val="00573F"/>
      <w:sz w:val="18"/>
      <w:szCs w:val="18"/>
    </w:rPr>
  </w:style>
  <w:style w:type="character" w:customStyle="1" w:styleId="FooterChar">
    <w:name w:val="Footer Char"/>
    <w:basedOn w:val="DefaultParagraphFont"/>
    <w:link w:val="Footer"/>
    <w:uiPriority w:val="99"/>
    <w:rsid w:val="00D64744"/>
    <w:rPr>
      <w:rFonts w:ascii="VIC SemiBold" w:eastAsia="VIC" w:hAnsi="VIC SemiBold" w:cs="Times New Roman"/>
      <w:color w:val="00573F"/>
      <w:sz w:val="18"/>
      <w:szCs w:val="18"/>
    </w:rPr>
  </w:style>
  <w:style w:type="paragraph" w:styleId="ListParagraph">
    <w:name w:val="List Paragraph"/>
    <w:basedOn w:val="Normal"/>
    <w:uiPriority w:val="34"/>
    <w:qFormat/>
    <w:rsid w:val="00D64744"/>
    <w:pPr>
      <w:ind w:left="567" w:hanging="567"/>
      <w:contextualSpacing/>
    </w:pPr>
  </w:style>
  <w:style w:type="paragraph" w:customStyle="1" w:styleId="TO1">
    <w:name w:val="TO1"/>
    <w:basedOn w:val="Normal"/>
    <w:qFormat/>
    <w:rsid w:val="00D64744"/>
  </w:style>
  <w:style w:type="paragraph" w:customStyle="1" w:styleId="Bullet1">
    <w:name w:val="Bullet 1"/>
    <w:basedOn w:val="Normal"/>
    <w:qFormat/>
    <w:rsid w:val="00D64744"/>
    <w:pPr>
      <w:numPr>
        <w:numId w:val="1"/>
      </w:numPr>
      <w:spacing w:line="288" w:lineRule="auto"/>
    </w:pPr>
  </w:style>
  <w:style w:type="paragraph" w:customStyle="1" w:styleId="TableChartBody">
    <w:name w:val="Table/Chart Body"/>
    <w:basedOn w:val="Normal"/>
    <w:qFormat/>
    <w:rsid w:val="00D64744"/>
    <w:pPr>
      <w:spacing w:line="288" w:lineRule="auto"/>
    </w:pPr>
  </w:style>
  <w:style w:type="character" w:styleId="Hyperlink">
    <w:name w:val="Hyperlink"/>
    <w:uiPriority w:val="99"/>
    <w:unhideWhenUsed/>
    <w:qFormat/>
    <w:rsid w:val="00D64744"/>
    <w:rPr>
      <w:color w:val="00573F"/>
      <w:u w:val="single"/>
    </w:rPr>
  </w:style>
  <w:style w:type="paragraph" w:customStyle="1" w:styleId="TableBullet1">
    <w:name w:val="Table Bullet 1"/>
    <w:basedOn w:val="TableChartBody"/>
    <w:qFormat/>
    <w:rsid w:val="00D64744"/>
    <w:pPr>
      <w:numPr>
        <w:numId w:val="2"/>
      </w:numPr>
    </w:pPr>
  </w:style>
  <w:style w:type="paragraph" w:customStyle="1" w:styleId="TableChartHeading">
    <w:name w:val="Table/Chart Heading"/>
    <w:basedOn w:val="Normal"/>
    <w:qFormat/>
    <w:rsid w:val="00D64744"/>
    <w:pPr>
      <w:spacing w:line="288" w:lineRule="auto"/>
    </w:pPr>
    <w:rPr>
      <w:b/>
    </w:rPr>
  </w:style>
  <w:style w:type="paragraph" w:customStyle="1" w:styleId="Body">
    <w:name w:val="Body"/>
    <w:basedOn w:val="Normal"/>
    <w:link w:val="BodyChar"/>
    <w:qFormat/>
    <w:rsid w:val="00D64744"/>
    <w:pPr>
      <w:spacing w:line="288" w:lineRule="auto"/>
    </w:pPr>
  </w:style>
  <w:style w:type="character" w:customStyle="1" w:styleId="BodyChar">
    <w:name w:val="Body Char"/>
    <w:link w:val="Body"/>
    <w:rsid w:val="00D64744"/>
    <w:rPr>
      <w:rFonts w:ascii="VIC" w:eastAsia="VIC" w:hAnsi="VIC" w:cs="Times New Roman"/>
    </w:rPr>
  </w:style>
  <w:style w:type="paragraph" w:styleId="BalloonText">
    <w:name w:val="Balloon Text"/>
    <w:basedOn w:val="Normal"/>
    <w:link w:val="BalloonTextChar"/>
    <w:uiPriority w:val="99"/>
    <w:semiHidden/>
    <w:unhideWhenUsed/>
    <w:rsid w:val="00D64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44"/>
    <w:rPr>
      <w:rFonts w:ascii="Segoe UI" w:eastAsia="VIC" w:hAnsi="Segoe UI" w:cs="Segoe UI"/>
      <w:sz w:val="18"/>
      <w:szCs w:val="18"/>
    </w:rPr>
  </w:style>
  <w:style w:type="character" w:styleId="CommentReference">
    <w:name w:val="annotation reference"/>
    <w:basedOn w:val="DefaultParagraphFont"/>
    <w:uiPriority w:val="99"/>
    <w:semiHidden/>
    <w:unhideWhenUsed/>
    <w:rsid w:val="00BA5DCE"/>
    <w:rPr>
      <w:sz w:val="16"/>
      <w:szCs w:val="16"/>
    </w:rPr>
  </w:style>
  <w:style w:type="paragraph" w:styleId="CommentText">
    <w:name w:val="annotation text"/>
    <w:basedOn w:val="Normal"/>
    <w:link w:val="CommentTextChar"/>
    <w:uiPriority w:val="99"/>
    <w:semiHidden/>
    <w:unhideWhenUsed/>
    <w:rsid w:val="00BA5DCE"/>
    <w:rPr>
      <w:sz w:val="20"/>
      <w:szCs w:val="20"/>
    </w:rPr>
  </w:style>
  <w:style w:type="character" w:customStyle="1" w:styleId="CommentTextChar">
    <w:name w:val="Comment Text Char"/>
    <w:basedOn w:val="DefaultParagraphFont"/>
    <w:link w:val="CommentText"/>
    <w:uiPriority w:val="99"/>
    <w:semiHidden/>
    <w:rsid w:val="00BA5DCE"/>
    <w:rPr>
      <w:rFonts w:ascii="VIC" w:eastAsia="VIC" w:hAnsi="VIC" w:cs="Times New Roman"/>
      <w:sz w:val="20"/>
      <w:szCs w:val="20"/>
    </w:rPr>
  </w:style>
  <w:style w:type="paragraph" w:styleId="CommentSubject">
    <w:name w:val="annotation subject"/>
    <w:basedOn w:val="CommentText"/>
    <w:next w:val="CommentText"/>
    <w:link w:val="CommentSubjectChar"/>
    <w:uiPriority w:val="99"/>
    <w:semiHidden/>
    <w:unhideWhenUsed/>
    <w:rsid w:val="00BA5DCE"/>
    <w:rPr>
      <w:b/>
      <w:bCs/>
    </w:rPr>
  </w:style>
  <w:style w:type="character" w:customStyle="1" w:styleId="CommentSubjectChar">
    <w:name w:val="Comment Subject Char"/>
    <w:basedOn w:val="CommentTextChar"/>
    <w:link w:val="CommentSubject"/>
    <w:uiPriority w:val="99"/>
    <w:semiHidden/>
    <w:rsid w:val="00BA5DCE"/>
    <w:rPr>
      <w:rFonts w:ascii="VIC" w:eastAsia="VIC" w:hAnsi="VIC" w:cs="Times New Roman"/>
      <w:b/>
      <w:bCs/>
      <w:sz w:val="20"/>
      <w:szCs w:val="20"/>
    </w:rPr>
  </w:style>
  <w:style w:type="character" w:styleId="UnresolvedMention">
    <w:name w:val="Unresolved Mention"/>
    <w:basedOn w:val="DefaultParagraphFont"/>
    <w:uiPriority w:val="99"/>
    <w:semiHidden/>
    <w:unhideWhenUsed/>
    <w:rsid w:val="007740EE"/>
    <w:rPr>
      <w:color w:val="605E5C"/>
      <w:shd w:val="clear" w:color="auto" w:fill="E1DFDD"/>
    </w:rPr>
  </w:style>
  <w:style w:type="paragraph" w:styleId="Revision">
    <w:name w:val="Revision"/>
    <w:hidden/>
    <w:uiPriority w:val="99"/>
    <w:semiHidden/>
    <w:rsid w:val="002D238D"/>
    <w:pPr>
      <w:spacing w:after="0" w:line="240" w:lineRule="auto"/>
    </w:pPr>
    <w:rPr>
      <w:rFonts w:ascii="VIC" w:eastAsia="VIC" w:hAnsi="VIC" w:cs="Times New Roman"/>
    </w:rPr>
  </w:style>
  <w:style w:type="paragraph" w:customStyle="1" w:styleId="Bullet2">
    <w:name w:val="Bullet 2"/>
    <w:basedOn w:val="Bullet1"/>
    <w:qFormat/>
    <w:rsid w:val="00E90C35"/>
    <w:pPr>
      <w:keepNext/>
      <w:keepLines/>
      <w:numPr>
        <w:numId w:val="0"/>
      </w:numPr>
      <w:spacing w:after="120" w:line="240" w:lineRule="auto"/>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genderequalitycommission.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derequalitycommission.vic.gov.au/about-gender-equality-act-20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4D6BF-6DD8-4809-98DB-C6978761A3F4}">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2.xml><?xml version="1.0" encoding="utf-8"?>
<ds:datastoreItem xmlns:ds="http://schemas.openxmlformats.org/officeDocument/2006/customXml" ds:itemID="{3E10DBB9-0D71-4097-8631-51F0B7E79C01}">
  <ds:schemaRefs>
    <ds:schemaRef ds:uri="http://www.w3.org/2001/XMLSchema"/>
  </ds:schemaRefs>
</ds:datastoreItem>
</file>

<file path=customXml/itemProps3.xml><?xml version="1.0" encoding="utf-8"?>
<ds:datastoreItem xmlns:ds="http://schemas.openxmlformats.org/officeDocument/2006/customXml" ds:itemID="{A9359E9E-2A22-4069-86E1-D21B2040B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E9B41-9939-4298-97FB-F90EF8843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Links>
    <vt:vector size="18" baseType="variant">
      <vt:variant>
        <vt:i4>4653158</vt:i4>
      </vt:variant>
      <vt:variant>
        <vt:i4>6</vt:i4>
      </vt:variant>
      <vt:variant>
        <vt:i4>0</vt:i4>
      </vt:variant>
      <vt:variant>
        <vt:i4>5</vt:i4>
      </vt:variant>
      <vt:variant>
        <vt:lpwstr>mailto:enquiries@genderequalitycommission.vic.gov.au</vt:lpwstr>
      </vt:variant>
      <vt:variant>
        <vt:lpwstr/>
      </vt:variant>
      <vt:variant>
        <vt:i4>2424876</vt:i4>
      </vt:variant>
      <vt:variant>
        <vt:i4>3</vt:i4>
      </vt:variant>
      <vt:variant>
        <vt:i4>0</vt:i4>
      </vt:variant>
      <vt:variant>
        <vt:i4>5</vt:i4>
      </vt:variant>
      <vt:variant>
        <vt:lpwstr>https://www.genderequalitycommission.vic.gov.au/about-gender-equality-act-2020</vt:lpwstr>
      </vt:variant>
      <vt:variant>
        <vt:lpwstr/>
      </vt:variant>
      <vt:variant>
        <vt:i4>2424876</vt:i4>
      </vt:variant>
      <vt:variant>
        <vt:i4>0</vt:i4>
      </vt:variant>
      <vt:variant>
        <vt:i4>0</vt:i4>
      </vt:variant>
      <vt:variant>
        <vt:i4>5</vt:i4>
      </vt:variant>
      <vt:variant>
        <vt:lpwstr>https://www.genderequalitycommission.vic.gov.au/about-gender-equality-act-2020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Ives (VPSC)</dc:creator>
  <cp:keywords/>
  <dc:description/>
  <cp:lastModifiedBy>Stacey Star (CGEPS)</cp:lastModifiedBy>
  <cp:revision>18</cp:revision>
  <dcterms:created xsi:type="dcterms:W3CDTF">2023-04-05T18:49:00Z</dcterms:created>
  <dcterms:modified xsi:type="dcterms:W3CDTF">2025-03-12T19:30:00Z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2021-05-02T22:03:56Z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46f2bf42-5a0d-4756-9eaf-32ddc0e5728b</vt:lpwstr>
  </property>
  <property fmtid="{D5CDD505-2E9C-101B-9397-08002B2CF9AE}" pid="8" name="MSIP_Label_7158ebbd-6c5e-441f-bfc9-4eb8c11e3978_ContentBits">
    <vt:lpwstr>2</vt:lpwstr>
  </property>
  <property fmtid="{D5CDD505-2E9C-101B-9397-08002B2CF9AE}" pid="9" name="ContentTypeId">
    <vt:lpwstr>0x010100555DF7B4C3396B4DA0F821E47AA844D3</vt:lpwstr>
  </property>
  <property fmtid="{D5CDD505-2E9C-101B-9397-08002B2CF9AE}" pid="10" name="MediaServiceImageTags">
    <vt:lpwstr/>
  </property>
  <property fmtid="{D5CDD505-2E9C-101B-9397-08002B2CF9AE}" pid="11" name="GrammarlyDocumentId">
    <vt:lpwstr>4596436f2ff1d1a88e76b9649e43aeb95e1e6b1ffc7011a1927bc7750d7b5ea7</vt:lpwstr>
  </property>
</Properties>
</file>