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4"/>
        <w:tblpPr w:leftFromText="180" w:rightFromText="180" w:vertAnchor="text" w:horzAnchor="page" w:tblpX="2306" w:tblpY="-1356"/>
        <w:tblW w:w="9355" w:type="dxa"/>
        <w:tblLook w:val="0600" w:firstRow="0" w:lastRow="0" w:firstColumn="0" w:lastColumn="0" w:noHBand="1" w:noVBand="1"/>
      </w:tblPr>
      <w:tblGrid>
        <w:gridCol w:w="9355"/>
      </w:tblGrid>
      <w:tr w:rsidR="004316A9" w:rsidRPr="00A964EC" w14:paraId="5953EE0B" w14:textId="77777777" w:rsidTr="00191440">
        <w:trPr>
          <w:trHeight w:val="1737"/>
        </w:trPr>
        <w:tc>
          <w:tcPr>
            <w:tcW w:w="9355" w:type="dxa"/>
          </w:tcPr>
          <w:p w14:paraId="01A2B059" w14:textId="57DC6A7C" w:rsidR="004316A9" w:rsidRPr="00A964EC" w:rsidRDefault="001E21E2" w:rsidP="00191440">
            <w:pPr>
              <w:pStyle w:val="Heading1"/>
              <w:jc w:val="right"/>
              <w:rPr>
                <w:rFonts w:cstheme="minorHAnsi"/>
                <w:color w:val="FFFFFF" w:themeColor="background1"/>
              </w:rPr>
            </w:pPr>
            <w:r>
              <w:rPr>
                <w:rFonts w:cstheme="minorHAnsi"/>
                <w:color w:val="FFFFFF" w:themeColor="background1"/>
              </w:rPr>
              <w:t xml:space="preserve">2026 </w:t>
            </w:r>
            <w:r w:rsidR="00361E62">
              <w:rPr>
                <w:rFonts w:cstheme="minorHAnsi"/>
                <w:color w:val="FFFFFF" w:themeColor="background1"/>
              </w:rPr>
              <w:t xml:space="preserve">Progress report guidance </w:t>
            </w:r>
          </w:p>
        </w:tc>
      </w:tr>
      <w:tr w:rsidR="004316A9" w:rsidRPr="00A964EC" w14:paraId="43739E08" w14:textId="77777777" w:rsidTr="00191440">
        <w:trPr>
          <w:trHeight w:val="898"/>
        </w:trPr>
        <w:tc>
          <w:tcPr>
            <w:tcW w:w="9355" w:type="dxa"/>
          </w:tcPr>
          <w:p w14:paraId="03E0002E" w14:textId="270D86F8" w:rsidR="004316A9" w:rsidRPr="00A964EC" w:rsidRDefault="00361E62" w:rsidP="00191440">
            <w:pPr>
              <w:pStyle w:val="Heading3"/>
              <w:jc w:val="right"/>
            </w:pPr>
            <w:r>
              <w:rPr>
                <w:color w:val="FFFFFF" w:themeColor="background1"/>
              </w:rPr>
              <w:t xml:space="preserve">For duty holders under the </w:t>
            </w:r>
            <w:r>
              <w:rPr>
                <w:i/>
                <w:iCs/>
                <w:color w:val="FFFFFF" w:themeColor="background1"/>
              </w:rPr>
              <w:t>Gender Equality Act 2020</w:t>
            </w:r>
          </w:p>
        </w:tc>
      </w:tr>
    </w:tbl>
    <w:p w14:paraId="45827106" w14:textId="77777777" w:rsidR="00231AE0" w:rsidRPr="00A964EC" w:rsidRDefault="004E7C1C">
      <w:pPr>
        <w:rPr>
          <w:rFonts w:cstheme="minorHAnsi"/>
        </w:rPr>
      </w:pPr>
      <w:r w:rsidRPr="00A964EC">
        <w:rPr>
          <w:rFonts w:cstheme="minorHAnsi"/>
          <w:noProof/>
        </w:rPr>
        <mc:AlternateContent>
          <mc:Choice Requires="wpg">
            <w:drawing>
              <wp:anchor distT="0" distB="0" distL="114300" distR="114300" simplePos="0" relativeHeight="251658240" behindDoc="1" locked="1" layoutInCell="1" allowOverlap="1" wp14:anchorId="2A4BC8B0" wp14:editId="385ED258">
                <wp:simplePos x="0" y="0"/>
                <wp:positionH relativeFrom="page">
                  <wp:posOffset>0</wp:posOffset>
                </wp:positionH>
                <wp:positionV relativeFrom="paragraph">
                  <wp:posOffset>-975360</wp:posOffset>
                </wp:positionV>
                <wp:extent cx="7555865" cy="1744980"/>
                <wp:effectExtent l="0" t="0" r="6985" b="7620"/>
                <wp:wrapNone/>
                <wp:docPr id="1" name="Group 1"/>
                <wp:cNvGraphicFramePr/>
                <a:graphic xmlns:a="http://schemas.openxmlformats.org/drawingml/2006/main">
                  <a:graphicData uri="http://schemas.microsoft.com/office/word/2010/wordprocessingGroup">
                    <wpg:wgp>
                      <wpg:cNvGrpSpPr/>
                      <wpg:grpSpPr>
                        <a:xfrm>
                          <a:off x="0" y="0"/>
                          <a:ext cx="7555865" cy="1744980"/>
                          <a:chOff x="0" y="3"/>
                          <a:chExt cx="7556500" cy="1744345"/>
                        </a:xfrm>
                      </wpg:grpSpPr>
                      <pic:pic xmlns:pic="http://schemas.openxmlformats.org/drawingml/2006/picture">
                        <pic:nvPicPr>
                          <pic:cNvPr id="11" name="Picture 11"/>
                          <pic:cNvPicPr>
                            <a:picLocks noChangeAspect="1"/>
                          </pic:cNvPicPr>
                        </pic:nvPicPr>
                        <pic:blipFill rotWithShape="1">
                          <a:blip r:embed="rId11"/>
                          <a:srcRect t="47505" b="2"/>
                          <a:stretch/>
                        </pic:blipFill>
                        <pic:spPr>
                          <a:xfrm>
                            <a:off x="0" y="4233"/>
                            <a:ext cx="7556500" cy="1739900"/>
                          </a:xfrm>
                          <a:prstGeom prst="rect">
                            <a:avLst/>
                          </a:prstGeom>
                        </pic:spPr>
                      </pic:pic>
                      <pic:pic xmlns:pic="http://schemas.openxmlformats.org/drawingml/2006/picture">
                        <pic:nvPicPr>
                          <pic:cNvPr id="1491090375" name="Picture 9">
                            <a:extLst>
                              <a:ext uri="{FF2B5EF4-FFF2-40B4-BE49-F238E27FC236}">
                                <a16:creationId xmlns:a16="http://schemas.microsoft.com/office/drawing/2014/main" id="{E7442D22-604D-412A-83B1-0FEAE914D85F}"/>
                              </a:ext>
                            </a:extLst>
                          </pic:cNvPr>
                          <pic:cNvPicPr>
                            <a:picLocks noChangeAspect="1"/>
                          </pic:cNvPicPr>
                        </pic:nvPicPr>
                        <pic:blipFill rotWithShape="1">
                          <a:blip r:embed="rId12">
                            <a:extLst>
                              <a:ext uri="{28A0092B-C50C-407E-A947-70E740481C1C}">
                                <a14:useLocalDpi xmlns:a14="http://schemas.microsoft.com/office/drawing/2010/main" val="0"/>
                              </a:ext>
                            </a:extLst>
                          </a:blip>
                          <a:srcRect b="1911"/>
                          <a:stretch/>
                        </pic:blipFill>
                        <pic:spPr bwMode="auto">
                          <a:xfrm>
                            <a:off x="0" y="3"/>
                            <a:ext cx="1772285" cy="17443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B56BF5B" id="Group 1" o:spid="_x0000_s1026" style="position:absolute;margin-left:0;margin-top:-76.8pt;width:594.95pt;height:137.4pt;z-index:-251658240;mso-position-horizontal-relative:page;mso-width-relative:margin;mso-height-relative:margin" coordorigin="" coordsize="75565,17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Q3K6pAIAAI8HAAAOAAAAZHJzL2Uyb0RvYy54bWzclV1P2zAUhu8n7T9Y&#10;vockbUObiBZNY6BJjFVj065dx0ks4g/ZblP+/Y7tFNrCxMbddtHUn8fvef3YPr/Yig5tmLFcyTnO&#10;TlOMmKSq4rKZ4x/fr05mGFlHZEU6JdkcPzCLLxbv3533umQj1aquYgZBEGnLXs9x65wuk8TSlgli&#10;T5VmEjprZQRxUDVNUhnSQ3TRJaM0PUt6ZSptFGXWQutl7MSLEL+uGXVf69oyh7o5Bm0ufE34rvw3&#10;WZyTsjFEt5wOMsgbVAjCJSz6GOqSOILWhj8LJTg1yqranVIlElXXnLKQA2STpUfZXBu11iGXpuwb&#10;/WgTWHvk05vD0tvNtdF3emnAiV434EWo+Vy2tRH+H1SibbDs4dEytnWIQuM0z/PZWY4Rhb5sOpkU&#10;s8FU2oLzT/PG0WrafnqaeZansCe7meNJ7scku4WTAzma0xJ+gwdQeubB66zALLc2DA9BxB/FEMTc&#10;r/UJbJcmjq94x91DQA82xouSmyWnSxMrYOfSIF6BFxlGkghAHrr9qghaID0/xY+Kc4jP6UbRe4uk&#10;+tgS2bAPVgO1ECCYcTg88dWDBVcd11e865BR7id37V1LNKyZBRh955ArIH+EzAt2RRwvFV0LJl08&#10;X4Z1kLaStuXaYmRKJlYM8jOfq6CQlNbQb6DYn63JNE+BBThZo7jd1hnmaOu31UvfqY02WKDut5xN&#10;RuMBmT3U9oEZFwXQsw8MmGmsu2ZKIF8AjSArGEE2N9bFobshg6KoIYgDgVEXFP4dzCZFlhbpeAq2&#10;H+JW/Ge07YgaaAPGsiIeKUDwNczQqv+iKjgYZO1UQOLFy+2IuGw6HY1me5fb8RX1l8SRspMeeKn8&#10;kY08+paA3zGJ4fqDWz/ciMML5Z+V/TqU99/RxS8AAAD//wMAUEsDBAoAAAAAAAAAIQDayu2OHQIA&#10;AB0CAAAUAAAAZHJzL21lZGlhL2ltYWdlMS5wbmeJUE5HDQoaCgAAAA1JSERSAAABOAAAAHsIBgAA&#10;AODEnBwAAAABc1JHQgCuzhzpAAAABGdBTUEAALGPC/xhBQAAAAlwSFlzAAASdAAAEnQB3mYfeAAA&#10;AbJJREFUeF7t1DERwDAQwLBvEBVQKRVzsgSFT1rMwM/3/nsAgtYtQI7BAVkGB2QZHJBlcECWwQFZ&#10;BgdkGRyQZXBAlsEBWQYHZBkckGVwQJbBAVkGB2QZHJBlcECWwQFZBgdkGRyQZXBAlsEBWQYHZBkc&#10;kGVwQJbBAVkGB2QZHJBlcECWwQFZBgdkGRyQZXBAlsEBWQYHZBkckGVwQJbBAVkGB2QZHJBlcECW&#10;wQFZBgdkGRyQZXBAlsEBWQYHZBkckGVwQJbBAVkGB2QZHJBlcECWwQFZBgdkGRyQZXBAlsEBWQYH&#10;ZBkckGVwQJbBAVkGB2QZHJBlcECWwQFZBgdkGRyQZXBAlsEBWQYHZBkckGVwQJbBAVkGB2QZHJBl&#10;cECWwQFZBgdkGRyQZXBAlsEBWQYHZBkckGVwQJbBAVkGB2QZHJBlcECWwQFZBgdkGRyQZXBAlsEB&#10;WQYHZBkckGVwQJbBAVkGB2QZHJBlcECWwQFZBgdkGRyQZXBAlsEBWQYHZBkckGVwQJbBAVkGB2QZ&#10;HJBlcECWwQFZBgdkGRyQZXBAlsEBWQYHZBkckGVwQJbBAVEzB3niAw6hCNAAAAAAAElFTkSuQmCC&#10;UEsDBAoAAAAAAAAAIQAKxiaXLAcAACwHAAAUAAAAZHJzL21lZGlhL2ltYWdlMi5wbmeJUE5HDQoa&#10;CgAAAA1JSERSAAABqAAAAawIBgAAAIgjM9YAAAABc1JHQgCuzhzpAAAABGdBTUEAALGPC/xhBQAA&#10;AAlwSFlzAAASdAAAEnQB3mYfeAAABsFJREFUeF7t2LFJQ1EYhuFcp0lpNrGySsqUTiAEAmlNaeES&#10;TiPuIJjGAa7N6b0RAm/xPM35Nng5//R9ucwrAIiZ1oeTQAE39fS4HwuWuxsvAKQIFABJAgVAkkAB&#10;kCRQACQJFABJAgVAkkABkCRQACQJFABJAgVAkkABkCRQACQJFABJAgVAkkABkCRQACQJFABJAgVA&#10;kkABkCRQACQJFABJAgVAkkABkCRQACQJFABJAgVAkkABkCRQACQJFABJAgVAkkABkCRQACQJFABJ&#10;AgVAkkABkCRQACQJFABJAgVAkkABkCRQACQJFABJAgVAkkABkCRQACQJFABJAgVAkkABkCRQACQJ&#10;FABJAgVAkkABkCRQACQJFABJAgVAkkABkCRQACQJFABJAgVAkkABkCRQACQJFABJAgVAkkABkCRQ&#10;ACQJFABJAgVAkkABkCRQACQJFABJAgVAkkABkCRQACQJFABJAgVAkkABkCRQACQJFABJAgVAkkAB&#10;kCRQACQJFABJAgVAkkABkCRQACQJFABJAgVAkkABkCRQACQJFABJAgVAkkABkCRQACQJFABJAgVA&#10;kkABkCRQACQJFABJAgVAkkABkCRQACQJFABJAgVAkkABkCRQACQJFABJAgVAkkABkCRQACQJFABJ&#10;AgVAkkABkCRQACQJFABJAgVAkkABkCRQACQJFABJAgVAkkABkCRQACQJFABJAgVAkkABkCRQACQJ&#10;FABJAgVAkkABkCRQACQJFABJAgVAkkABkCRQACQJFABJAgVAkkABkCRQACQJFABJ0/pwmseGP30e&#10;n8eC67x+fI0FywgUVxEo/mu3OY8FyzjxAZAkUAAkCRQASQIFQJJAAZAkUAAkCRQASQIFQJJAAZAk&#10;UAAkCRQASQIFQJJAAZAkUAAkCRQASQIFQJJAAZAkUAAkCRQASQIFQJJAAZAkUAAkCRQASQIFQJJA&#10;AZAkUAAkCRQASQIFQJJAAZAkUAAkCRQASQIFQJJAAZAkUAAkCRQASQIFQJJAAZAkUAAkCRQASQIF&#10;QJJAAZAkUAAkCRQASQIFQJJAAZAkUAAkCRQASQIFQJJAAZAkUAAkCRQASQIFQJJAAZAkUAAkCRQA&#10;SQIFQJJAAZAkUAAkCRQASQIFQJJAAZAkUAAkCRQASQIFQJJAAZAkUAAkCRQASQIFQJJAAZAkUAAk&#10;CRQASQIFQJJAAZAkUAAkCRQASQIFQJJAAZAkUAAkCRQASQIFQJJAAZAkUAAkCRQASQIFQJJAAZAk&#10;UAAkCRQASQIFQJJAAZAkUAAkCRQASQIFQJJAAZAkUAAkCRQASQIFQJJAAZAkUAAkCRQASQIFQJJA&#10;AZAkUAAkCRQASQIFQJJAAZAkUAAkCRQASQIFQJJAAZAkUAAkCRQASQIFQJJAAZAkUAAkCRQASQIF&#10;QJJAAZAkUAAkCRQASQIFQJJAAZAkUAAkCRQASQIFQJJAAZAkUAAkCRQASQIFQJJAAZAkUAAkCRQA&#10;SQIFQJJAAZAkUAAkCRQASQIFQJJAAZAkUAAkCRQASQIFQNK0en+bx4ZF5of9WLDcbnMeC5YRKK62&#10;Pf6MBXA7TnwAJAkUAEkCBUCSQAGQJFAAJAkUAEkCBUCSQAGQJFAAJAkUAEkCBUCSQAGQJFAAJAkU&#10;AEkCBUCSQAGQJFAAJAkUAEkCBUCSQAGQJFAAJAkUAEkCBUCSQAGQJFAAJAkUAEkCBUCSQAGQJFAA&#10;JAkUAEkCBUCSQAGQJFAAJAkUAEkCBUCSQAGQJFAAJAkUAEkCBUCSQAGQJFAAJAkUAEkCBUCSQAGQ&#10;JFAAJAkUAEkCBUCSQAGQJFAAJAkUAEkCBUCSQAGQJFAAJAkUAEkCBUCSQAGQJFAAJAkUAEkCBUCS&#10;QAGQJFAAJAkUAEkCBUCSQAGQJFAAJAkUAEkCBUCSQAGQJFAAJAkUAEkCBUCSQAGQJFAAJAkUAEkC&#10;BUCSQAGQJFAAJAkUAEkCBUCSQAGQJFAAJAkUAEkCBUCSQAGQJFAAJAkUAEkCBUCSQAGQJFAAJAkU&#10;AEkCBUCSQAGQJFAAJAkUAEkCBUCSQAGQJFAAJAkUAEkCBUCSQAGQJFAAJAkUAEkCBUCSQAGQJFAA&#10;JAkUAEkCBUCSQAGQJFAAJAkUAEkCBUCSQAGQJFAAJAkUAEkCBUCSQAGQJFAAJAkUAEkCBUCSQAGQ&#10;JFAAJAkUAEkCBUCSQAGQJFAAJAkUAEkCBUCSQAGQJFAAJAkUAEkCBUCSQAGQJFAAJAkUAEkCBUCS&#10;QAGQJFAAJAkUAEkCBUCSQAGQJFAAJE3b+5d5bADI8IMCIEmgAAharX4BqMkhHEJvUrQAAAAASUVO&#10;RK5CYIJQSwMEFAAGAAgAAAAhAAmbOlfgAAAACgEAAA8AAABkcnMvZG93bnJldi54bWxMj0FrwkAQ&#10;he+F/odlhN50sxFFYzYi0vYkhWqh9DYmYxLMzobsmsR/3/XU3t7whve+l25H04ieOldb1qBmEQji&#10;3BY1lxq+Tm/TFQjnkQtsLJOGOznYZs9PKSaFHfiT+qMvRQhhl6CGyvs2kdLlFRl0M9sSB+9iO4M+&#10;nF0piw6HEG4aGUfRUhqsOTRU2NK+ovx6vBkN7wMOu7l67Q/Xy/7+c1p8fB8Uaf0yGXcbEJ5G//cM&#10;D/yADllgOtsbF040GsIQr2GqFvMliIevVus1iHNQsYpBZqn8PyH7B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DtDcrqkAgAAjwcAAA4AAAAAAAAA&#10;AAAAAAAAOgIAAGRycy9lMm9Eb2MueG1sUEsBAi0ACgAAAAAAAAAhANrK7Y4dAgAAHQIAABQAAAAA&#10;AAAAAAAAAAAACgUAAGRycy9tZWRpYS9pbWFnZTEucG5nUEsBAi0ACgAAAAAAAAAhAArGJpcsBwAA&#10;LAcAABQAAAAAAAAAAAAAAAAAWQcAAGRycy9tZWRpYS9pbWFnZTIucG5nUEsBAi0AFAAGAAgAAAAh&#10;AAmbOlfgAAAACgEAAA8AAAAAAAAAAAAAAAAAtw4AAGRycy9kb3ducmV2LnhtbFBLAQItABQABgAI&#10;AAAAIQAubPAAxQAAAKUBAAAZAAAAAAAAAAAAAAAAAMQPAABkcnMvX3JlbHMvZTJvRG9jLnhtbC5y&#10;ZWxzUEsFBgAAAAAHAAcAvgEAAM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42;width:75565;height:1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lzvgAAANsAAAAPAAAAZHJzL2Rvd25yZXYueG1sRE9Ni8Iw&#10;EL0v+B/CCN407R5k6RpFhGKv6h48Ds1sE2wmtYna7q83grC3ebzPWW0G14o79cF6VpAvMhDEtdeW&#10;GwU/p3L+BSJEZI2tZ1IwUoDNevKxwkL7Bx/ofoyNSCEcClRgYuwKKUNtyGFY+I44cb++dxgT7Bup&#10;e3ykcNfKzyxbSoeWU4PBjnaG6svx5hTsbWXGqqmcL8cz/9nDFccBlZpNh+03iEhD/Be/3ZVO83N4&#10;/ZIOkOsnAAAA//8DAFBLAQItABQABgAIAAAAIQDb4fbL7gAAAIUBAAATAAAAAAAAAAAAAAAAAAAA&#10;AABbQ29udGVudF9UeXBlc10ueG1sUEsBAi0AFAAGAAgAAAAhAFr0LFu/AAAAFQEAAAsAAAAAAAAA&#10;AAAAAAAAHwEAAF9yZWxzLy5yZWxzUEsBAi0AFAAGAAgAAAAhAGiseXO+AAAA2wAAAA8AAAAAAAAA&#10;AAAAAAAABwIAAGRycy9kb3ducmV2LnhtbFBLBQYAAAAAAwADALcAAADyAgAAAAA=&#10;">
                  <v:imagedata r:id="rId13" o:title="" croptop="31133f" cropbottom="1f"/>
                </v:shape>
                <v:shape id="Picture 9" o:spid="_x0000_s1028" type="#_x0000_t75" style="position:absolute;width:17722;height:17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mywAAAOMAAAAPAAAAZHJzL2Rvd25yZXYueG1sRI9BawIx&#10;EIXvBf9DGKG3mlhr665GKYVCqVqoFoq3YTPuLiaTZZO6239vhEKPM++9b94sVr2z4kxtqD1rGI8U&#10;COLCm5pLDV/717sZiBCRDVrPpOGXAqyWg5sF5sZ3/EnnXSxFgnDIUUMVY5NLGYqKHIaRb4iTdvSt&#10;w5jGtpSmxS7BnZX3Sj1KhzWnCxU29FJRcdr9OA0bu5lm33xo1jTZvnf2SuEPrW+H/fMcRKQ+/pv/&#10;0m8m1X/IxipTk6cpXH9KC5DLCwAAAP//AwBQSwECLQAUAAYACAAAACEA2+H2y+4AAACFAQAAEwAA&#10;AAAAAAAAAAAAAAAAAAAAW0NvbnRlbnRfVHlwZXNdLnhtbFBLAQItABQABgAIAAAAIQBa9CxbvwAA&#10;ABUBAAALAAAAAAAAAAAAAAAAAB8BAABfcmVscy8ucmVsc1BLAQItABQABgAIAAAAIQCLu+CmywAA&#10;AOMAAAAPAAAAAAAAAAAAAAAAAAcCAABkcnMvZG93bnJldi54bWxQSwUGAAAAAAMAAwC3AAAA/wIA&#10;AAAA&#10;">
                  <v:imagedata r:id="rId14" o:title="" cropbottom="1252f"/>
                </v:shape>
                <w10:wrap anchorx="page"/>
                <w10:anchorlock/>
              </v:group>
            </w:pict>
          </mc:Fallback>
        </mc:AlternateContent>
      </w:r>
    </w:p>
    <w:p w14:paraId="3836BE09" w14:textId="77777777" w:rsidR="004316A9" w:rsidRPr="00A964EC" w:rsidRDefault="004316A9" w:rsidP="004316A9">
      <w:pPr>
        <w:pStyle w:val="Title"/>
        <w:rPr>
          <w:rStyle w:val="IntenseEmphasis"/>
          <w:rFonts w:cstheme="minorHAnsi"/>
          <w:i w:val="0"/>
          <w:iCs w:val="0"/>
          <w:color w:val="auto"/>
        </w:rPr>
      </w:pPr>
    </w:p>
    <w:p w14:paraId="1DE6C1F4" w14:textId="77777777" w:rsidR="0067124C" w:rsidRDefault="0067124C" w:rsidP="0067124C">
      <w:pPr>
        <w:pStyle w:val="Heading1"/>
      </w:pPr>
      <w:r>
        <w:t>Overview</w:t>
      </w:r>
    </w:p>
    <w:p w14:paraId="38AB5EF2" w14:textId="77777777" w:rsidR="0067124C" w:rsidRPr="00407715" w:rsidRDefault="0067124C" w:rsidP="0067124C">
      <w:pPr>
        <w:pStyle w:val="Heading2"/>
      </w:pPr>
      <w:r>
        <w:t>About</w:t>
      </w:r>
    </w:p>
    <w:p w14:paraId="21663153" w14:textId="3DEDF66E" w:rsidR="0067124C" w:rsidRPr="007D5F97" w:rsidRDefault="0067124C" w:rsidP="00361E62">
      <w:pPr>
        <w:pStyle w:val="Body"/>
      </w:pPr>
      <w:r w:rsidRPr="007D5F97">
        <w:t>This guid</w:t>
      </w:r>
      <w:r>
        <w:t>ance</w:t>
      </w:r>
      <w:r w:rsidRPr="007D5F97">
        <w:t xml:space="preserve"> is for organisations that have obligations as duty holders under the </w:t>
      </w:r>
      <w:r w:rsidRPr="00E84D92">
        <w:rPr>
          <w:i/>
          <w:iCs/>
        </w:rPr>
        <w:t>Gender Equality Act 2020</w:t>
      </w:r>
      <w:r w:rsidRPr="007D5F97">
        <w:t>. Visit the Commission</w:t>
      </w:r>
      <w:r>
        <w:t>er</w:t>
      </w:r>
      <w:r w:rsidRPr="007D5F97">
        <w:t xml:space="preserve">’s website for a </w:t>
      </w:r>
      <w:hyperlink r:id="rId15" w:history="1">
        <w:r w:rsidRPr="007D5F97">
          <w:rPr>
            <w:rStyle w:val="Hyperlink"/>
            <w:color w:val="000000" w:themeColor="text1"/>
          </w:rPr>
          <w:t>list of duty holders under the Gender Equality Act</w:t>
        </w:r>
      </w:hyperlink>
      <w:r w:rsidR="00361E62">
        <w:t>.</w:t>
      </w:r>
    </w:p>
    <w:p w14:paraId="4CCE47BA" w14:textId="2935E204" w:rsidR="00361E62" w:rsidRDefault="0067124C" w:rsidP="00361E62">
      <w:pPr>
        <w:pStyle w:val="Body"/>
      </w:pPr>
      <w:r w:rsidRPr="007D5F97">
        <w:rPr>
          <w:color w:val="000000" w:themeColor="text1"/>
        </w:rPr>
        <w:t xml:space="preserve">The </w:t>
      </w:r>
      <w:r w:rsidRPr="00F538C8">
        <w:rPr>
          <w:i/>
          <w:iCs/>
          <w:color w:val="000000" w:themeColor="text1"/>
        </w:rPr>
        <w:t>Gender Equality Act 2020</w:t>
      </w:r>
      <w:r w:rsidRPr="007D5F97">
        <w:rPr>
          <w:color w:val="000000" w:themeColor="text1"/>
        </w:rPr>
        <w:t xml:space="preserve"> (the Act) requires duty holders to submit a progress report every </w:t>
      </w:r>
      <w:r w:rsidR="00361E62">
        <w:rPr>
          <w:color w:val="000000" w:themeColor="text1"/>
        </w:rPr>
        <w:t>2 </w:t>
      </w:r>
      <w:r w:rsidRPr="007D5F97">
        <w:rPr>
          <w:color w:val="000000" w:themeColor="text1"/>
        </w:rPr>
        <w:t xml:space="preserve">years. </w:t>
      </w:r>
    </w:p>
    <w:p w14:paraId="2C73F1F4" w14:textId="28AA6C20" w:rsidR="00361E62" w:rsidRDefault="00361E62" w:rsidP="00361E62">
      <w:pPr>
        <w:pStyle w:val="Body"/>
      </w:pPr>
      <w:r>
        <w:t>Monitoring</w:t>
      </w:r>
      <w:r w:rsidR="0067124C">
        <w:t xml:space="preserve">, measuring and reporting on progress </w:t>
      </w:r>
      <w:r>
        <w:t xml:space="preserve">allows </w:t>
      </w:r>
      <w:r w:rsidR="00196E57">
        <w:t>both you and the Commission</w:t>
      </w:r>
      <w:r w:rsidR="006357B0">
        <w:t>er</w:t>
      </w:r>
      <w:r>
        <w:t xml:space="preserve"> to</w:t>
      </w:r>
      <w:r w:rsidR="0067124C">
        <w:t xml:space="preserve"> evaluate the success of your gender equality action plan (GEAP) and gender impact assessments (GIA). </w:t>
      </w:r>
    </w:p>
    <w:p w14:paraId="5C26FACF" w14:textId="6173D0B4" w:rsidR="00361E62" w:rsidRDefault="0067124C" w:rsidP="00361E62">
      <w:pPr>
        <w:pStyle w:val="Body"/>
      </w:pPr>
      <w:r>
        <w:t xml:space="preserve">This will help you understand whether your actions are achieving positive change towards </w:t>
      </w:r>
      <w:r w:rsidRPr="00361E62">
        <w:t>workplace</w:t>
      </w:r>
      <w:r>
        <w:t xml:space="preserve"> gender equality</w:t>
      </w:r>
      <w:r w:rsidR="00361E62">
        <w:t>. This i</w:t>
      </w:r>
      <w:r>
        <w:t>s measured by the workplace gender equality indicators in the Act</w:t>
      </w:r>
      <w:r w:rsidR="00361E62">
        <w:t xml:space="preserve">. </w:t>
      </w:r>
    </w:p>
    <w:p w14:paraId="687EF499" w14:textId="1CF03470" w:rsidR="0067124C" w:rsidRDefault="00361E62" w:rsidP="00361E62">
      <w:pPr>
        <w:pStyle w:val="Body"/>
      </w:pPr>
      <w:r>
        <w:t xml:space="preserve">It will also help you to </w:t>
      </w:r>
      <w:r w:rsidR="0067124C">
        <w:t>promot</w:t>
      </w:r>
      <w:r>
        <w:t>e</w:t>
      </w:r>
      <w:r w:rsidR="0067124C">
        <w:t xml:space="preserve"> gender equality in your public policies, programs and services.</w:t>
      </w:r>
    </w:p>
    <w:p w14:paraId="697A7B4E" w14:textId="0A891A48" w:rsidR="0067124C" w:rsidRDefault="0067124C" w:rsidP="00361E62">
      <w:pPr>
        <w:pStyle w:val="Body"/>
      </w:pPr>
      <w:r>
        <w:t xml:space="preserve">The </w:t>
      </w:r>
      <w:hyperlink r:id="rId16">
        <w:r w:rsidRPr="432E1C71">
          <w:rPr>
            <w:rStyle w:val="Hyperlink"/>
          </w:rPr>
          <w:t>Gender Equality Act 2020</w:t>
        </w:r>
      </w:hyperlink>
      <w:r w:rsidR="00C95018">
        <w:t xml:space="preserve"> </w:t>
      </w:r>
      <w:r>
        <w:t xml:space="preserve">(the Act) requires </w:t>
      </w:r>
      <w:hyperlink r:id="rId17">
        <w:r w:rsidRPr="432E1C71">
          <w:rPr>
            <w:rStyle w:val="Hyperlink"/>
          </w:rPr>
          <w:t>duty holders</w:t>
        </w:r>
      </w:hyperlink>
      <w:r>
        <w:t xml:space="preserve"> </w:t>
      </w:r>
      <w:r w:rsidRPr="00676E65">
        <w:t xml:space="preserve">to submit a progress report to the Public Sector Gender Equality </w:t>
      </w:r>
      <w:r w:rsidRPr="00361E62">
        <w:t>Commissioner</w:t>
      </w:r>
      <w:r w:rsidRPr="00676E65">
        <w:t xml:space="preserve"> (</w:t>
      </w:r>
      <w:r>
        <w:t xml:space="preserve">the </w:t>
      </w:r>
      <w:r w:rsidRPr="00676E65">
        <w:t xml:space="preserve">Commissioner) every second year after submitting a GEAP. </w:t>
      </w:r>
      <w:r>
        <w:t>The next progress report is due on 1 May 2026.</w:t>
      </w:r>
    </w:p>
    <w:p w14:paraId="1AD9447E" w14:textId="77777777" w:rsidR="0067124C" w:rsidRDefault="0067124C" w:rsidP="0067124C">
      <w:pPr>
        <w:pStyle w:val="Heading2"/>
      </w:pPr>
      <w:r>
        <w:t>Why this work is important</w:t>
      </w:r>
    </w:p>
    <w:p w14:paraId="35680EFC" w14:textId="48C200B7" w:rsidR="008200EA" w:rsidRDefault="008200EA" w:rsidP="00361E62">
      <w:pPr>
        <w:pStyle w:val="Body"/>
      </w:pPr>
      <w:r>
        <w:t>Under the Act, y</w:t>
      </w:r>
      <w:r w:rsidRPr="00D80271">
        <w:t xml:space="preserve">ou </w:t>
      </w:r>
      <w:r w:rsidR="0067124C" w:rsidRPr="00D80271">
        <w:t xml:space="preserve">are required to report on </w:t>
      </w:r>
      <w:r w:rsidR="0067124C" w:rsidRPr="00361E62">
        <w:t>your</w:t>
      </w:r>
      <w:r w:rsidR="0067124C">
        <w:t xml:space="preserve"> progress to the Commissioner. </w:t>
      </w:r>
    </w:p>
    <w:p w14:paraId="1C25517E" w14:textId="55A24E09" w:rsidR="0067124C" w:rsidRDefault="0067124C" w:rsidP="00F538C8">
      <w:pPr>
        <w:pStyle w:val="Body"/>
      </w:pPr>
      <w:r>
        <w:t>However, reporting on progress also benefits your organisation and the wider community</w:t>
      </w:r>
      <w:r w:rsidR="008200EA">
        <w:t>. Reporting helps your organisation:</w:t>
      </w:r>
    </w:p>
    <w:p w14:paraId="5EB41FB2" w14:textId="6A92F016" w:rsidR="0067124C" w:rsidRDefault="0067124C" w:rsidP="0067124C">
      <w:pPr>
        <w:pStyle w:val="Bullet1"/>
      </w:pPr>
      <w:r>
        <w:t>stay on track</w:t>
      </w:r>
    </w:p>
    <w:p w14:paraId="3F30D019" w14:textId="0F1C3249" w:rsidR="0067124C" w:rsidRDefault="008200EA" w:rsidP="0067124C">
      <w:pPr>
        <w:pStyle w:val="Bullet1"/>
      </w:pPr>
      <w:r>
        <w:t xml:space="preserve">share </w:t>
      </w:r>
      <w:r w:rsidR="0067124C">
        <w:t>knowledge and lessons learned</w:t>
      </w:r>
    </w:p>
    <w:p w14:paraId="4EAC2027" w14:textId="47C1D62A" w:rsidR="0067124C" w:rsidRDefault="00361E62" w:rsidP="0067124C">
      <w:pPr>
        <w:pStyle w:val="Bullet1"/>
      </w:pPr>
      <w:r>
        <w:t>celebrat</w:t>
      </w:r>
      <w:r w:rsidR="008200EA">
        <w:t>e</w:t>
      </w:r>
      <w:r>
        <w:t xml:space="preserve"> </w:t>
      </w:r>
      <w:r w:rsidR="0067124C">
        <w:t>achievements made towards gender equality</w:t>
      </w:r>
    </w:p>
    <w:p w14:paraId="3C5A668A" w14:textId="6250A32B" w:rsidR="0067124C" w:rsidRDefault="00361E62" w:rsidP="0067124C">
      <w:pPr>
        <w:pStyle w:val="Bullet1"/>
      </w:pPr>
      <w:r>
        <w:t>c</w:t>
      </w:r>
      <w:r w:rsidR="0067124C">
        <w:t>ontribut</w:t>
      </w:r>
      <w:r w:rsidR="008200EA">
        <w:t>e</w:t>
      </w:r>
      <w:r w:rsidR="0067124C">
        <w:t xml:space="preserve"> to the objectives of the Act, including:</w:t>
      </w:r>
    </w:p>
    <w:p w14:paraId="731C84F6" w14:textId="37EB4919" w:rsidR="0067124C" w:rsidRPr="00AB146A" w:rsidRDefault="00361E62" w:rsidP="0067124C">
      <w:pPr>
        <w:pStyle w:val="Bullet2"/>
        <w:ind w:left="644" w:hanging="360"/>
      </w:pPr>
      <w:r w:rsidRPr="00AB146A">
        <w:t>promot</w:t>
      </w:r>
      <w:r>
        <w:t>ing</w:t>
      </w:r>
      <w:r w:rsidR="008200EA">
        <w:t xml:space="preserve"> </w:t>
      </w:r>
      <w:r w:rsidR="0067124C" w:rsidRPr="00AB146A">
        <w:t xml:space="preserve">gender equality and </w:t>
      </w:r>
      <w:r w:rsidR="006A7BC5">
        <w:t>improving</w:t>
      </w:r>
      <w:r w:rsidR="0067124C" w:rsidRPr="00AB146A">
        <w:t xml:space="preserve"> the status of women</w:t>
      </w:r>
    </w:p>
    <w:p w14:paraId="2825C07D" w14:textId="1071D571" w:rsidR="0067124C" w:rsidRPr="00AB146A" w:rsidRDefault="008200EA" w:rsidP="0067124C">
      <w:pPr>
        <w:pStyle w:val="Bullet2"/>
        <w:ind w:left="644" w:hanging="360"/>
      </w:pPr>
      <w:r>
        <w:t xml:space="preserve">eliminating </w:t>
      </w:r>
      <w:r w:rsidR="0067124C" w:rsidRPr="00AB146A">
        <w:t xml:space="preserve">systemic causes of gender inequality </w:t>
      </w:r>
      <w:r w:rsidR="006A7BC5" w:rsidRPr="00AB146A">
        <w:t>in</w:t>
      </w:r>
      <w:r w:rsidR="006A7BC5">
        <w:t xml:space="preserve"> </w:t>
      </w:r>
      <w:r w:rsidR="0067124C" w:rsidRPr="00AB146A">
        <w:t>policy, programs and services</w:t>
      </w:r>
      <w:r w:rsidR="006A7BC5">
        <w:t>, for both the workforce and the community</w:t>
      </w:r>
    </w:p>
    <w:p w14:paraId="4B563D46" w14:textId="7A8B8AB9" w:rsidR="0067124C" w:rsidRPr="00AB146A" w:rsidRDefault="00361E62" w:rsidP="0067124C">
      <w:pPr>
        <w:pStyle w:val="Bullet2"/>
        <w:ind w:left="644" w:hanging="360"/>
      </w:pPr>
      <w:r w:rsidRPr="00AB146A">
        <w:t>recognis</w:t>
      </w:r>
      <w:r>
        <w:t>ing</w:t>
      </w:r>
      <w:r w:rsidRPr="00AB146A">
        <w:t xml:space="preserve"> </w:t>
      </w:r>
      <w:r w:rsidR="0067124C" w:rsidRPr="00AB146A">
        <w:t xml:space="preserve">that </w:t>
      </w:r>
      <w:r w:rsidR="006A7BC5">
        <w:t xml:space="preserve">other forms of discrimination can compound </w:t>
      </w:r>
      <w:r w:rsidR="0067124C" w:rsidRPr="00AB146A">
        <w:t xml:space="preserve">gender </w:t>
      </w:r>
      <w:r w:rsidR="006A7BC5">
        <w:t>inequality. This includes</w:t>
      </w:r>
      <w:r w:rsidR="0067124C" w:rsidRPr="00AB146A">
        <w:t xml:space="preserve"> Aboriginality, age, disability, ethnicity, gender identity, race, religion, sexual orientation and other attributes</w:t>
      </w:r>
    </w:p>
    <w:p w14:paraId="4679734E" w14:textId="3B990A10" w:rsidR="0067124C" w:rsidRPr="00AB146A" w:rsidRDefault="008200EA" w:rsidP="0067124C">
      <w:pPr>
        <w:pStyle w:val="Bullet2"/>
        <w:ind w:left="644" w:hanging="360"/>
      </w:pPr>
      <w:r>
        <w:t>structural change to redress</w:t>
      </w:r>
      <w:r w:rsidR="00361E62">
        <w:t xml:space="preserve"> </w:t>
      </w:r>
      <w:r w:rsidR="0067124C" w:rsidRPr="00AB146A">
        <w:t xml:space="preserve">disadvantage, </w:t>
      </w:r>
      <w:r>
        <w:t>reduce</w:t>
      </w:r>
      <w:r w:rsidRPr="00AB146A">
        <w:t xml:space="preserve"> </w:t>
      </w:r>
      <w:r w:rsidR="0067124C" w:rsidRPr="00AB146A">
        <w:t>stigma, stereotyp</w:t>
      </w:r>
      <w:r>
        <w:t>es</w:t>
      </w:r>
      <w:r w:rsidR="0067124C" w:rsidRPr="00AB146A">
        <w:t>, prejudice</w:t>
      </w:r>
      <w:r>
        <w:t>s</w:t>
      </w:r>
      <w:r w:rsidR="0067124C" w:rsidRPr="00AB146A">
        <w:t xml:space="preserve"> and violence</w:t>
      </w:r>
    </w:p>
    <w:p w14:paraId="3C495F1D" w14:textId="72D1319F" w:rsidR="0067124C" w:rsidRPr="00AB146A" w:rsidRDefault="008200EA" w:rsidP="0067124C">
      <w:pPr>
        <w:pStyle w:val="Bullet2"/>
        <w:ind w:left="644" w:hanging="360"/>
      </w:pPr>
      <w:r>
        <w:t>improving</w:t>
      </w:r>
      <w:r w:rsidR="00361E62" w:rsidRPr="00AB146A">
        <w:t xml:space="preserve"> </w:t>
      </w:r>
      <w:r w:rsidR="0067124C" w:rsidRPr="00AB146A">
        <w:t>economic and social participation</w:t>
      </w:r>
    </w:p>
    <w:p w14:paraId="65D2A4F7" w14:textId="113934A8" w:rsidR="0067124C" w:rsidRPr="00AB146A" w:rsidRDefault="008200EA" w:rsidP="0067124C">
      <w:pPr>
        <w:pStyle w:val="Bullet2"/>
        <w:ind w:left="644" w:hanging="360"/>
      </w:pPr>
      <w:r>
        <w:t>promoting</w:t>
      </w:r>
      <w:r w:rsidR="0067124C">
        <w:t xml:space="preserve"> </w:t>
      </w:r>
      <w:r w:rsidR="0067124C" w:rsidRPr="00AB146A">
        <w:t>the right to equality set out in the Charter of Human Rights and Responsibilities and the Convention on the Elimination of All Forms of Discrimination against Women</w:t>
      </w:r>
      <w:r w:rsidR="0067124C">
        <w:t>.</w:t>
      </w:r>
    </w:p>
    <w:p w14:paraId="69AE94F8" w14:textId="4BA3EBA8" w:rsidR="008200EA" w:rsidRPr="00403A7C" w:rsidRDefault="008200EA" w:rsidP="00F538C8">
      <w:pPr>
        <w:pStyle w:val="Heading2"/>
        <w:spacing w:line="240" w:lineRule="auto"/>
      </w:pPr>
      <w:r>
        <w:t xml:space="preserve">The pace of </w:t>
      </w:r>
      <w:r w:rsidRPr="006A7BC5">
        <w:t>progress</w:t>
      </w:r>
    </w:p>
    <w:p w14:paraId="1E33063C" w14:textId="5494046D" w:rsidR="008200EA" w:rsidRDefault="008200EA" w:rsidP="00F538C8">
      <w:pPr>
        <w:pStyle w:val="Bodyafterbullets"/>
        <w:keepNext/>
        <w:keepLines/>
        <w:spacing w:line="240" w:lineRule="auto"/>
      </w:pPr>
      <w:r>
        <w:t>P</w:t>
      </w:r>
      <w:r w:rsidR="0067124C" w:rsidRPr="00403A7C">
        <w:t xml:space="preserve">rogress </w:t>
      </w:r>
      <w:r>
        <w:t xml:space="preserve">towards these goals </w:t>
      </w:r>
      <w:r w:rsidR="0067124C" w:rsidRPr="00403A7C">
        <w:t xml:space="preserve">is not always linear and immediate. </w:t>
      </w:r>
    </w:p>
    <w:p w14:paraId="54D8624E" w14:textId="78B39969" w:rsidR="008200EA" w:rsidRDefault="0067124C" w:rsidP="00F538C8">
      <w:pPr>
        <w:pStyle w:val="Bodyafterbullets"/>
        <w:keepNext/>
        <w:keepLines/>
        <w:spacing w:line="240" w:lineRule="auto"/>
      </w:pPr>
      <w:r w:rsidRPr="00403A7C">
        <w:t>GEAPs are 4-year action plans</w:t>
      </w:r>
      <w:r w:rsidR="008200EA">
        <w:t>. S</w:t>
      </w:r>
      <w:r w:rsidRPr="00403A7C">
        <w:t>trategies and measures may have short, medium and long-term implementation plans.</w:t>
      </w:r>
    </w:p>
    <w:p w14:paraId="34903F32" w14:textId="52F3DC95" w:rsidR="0067124C" w:rsidRDefault="0067124C" w:rsidP="00F538C8">
      <w:pPr>
        <w:pStyle w:val="Bodyafterbullets"/>
      </w:pPr>
      <w:r w:rsidRPr="00403A7C">
        <w:t xml:space="preserve">This means </w:t>
      </w:r>
      <w:r w:rsidR="008200EA">
        <w:t>your</w:t>
      </w:r>
      <w:r w:rsidR="008200EA" w:rsidRPr="00403A7C">
        <w:t xml:space="preserve"> </w:t>
      </w:r>
      <w:r w:rsidRPr="00403A7C">
        <w:t xml:space="preserve">organisation </w:t>
      </w:r>
      <w:r w:rsidR="009759D2">
        <w:t xml:space="preserve">may </w:t>
      </w:r>
      <w:r w:rsidRPr="00403A7C">
        <w:t xml:space="preserve">not </w:t>
      </w:r>
      <w:r w:rsidR="008200EA">
        <w:t>yet</w:t>
      </w:r>
      <w:r w:rsidR="008200EA" w:rsidRPr="00403A7C">
        <w:t xml:space="preserve"> </w:t>
      </w:r>
      <w:r w:rsidRPr="00403A7C">
        <w:t xml:space="preserve">have seen big </w:t>
      </w:r>
      <w:r w:rsidR="0097511A">
        <w:t xml:space="preserve">numerical </w:t>
      </w:r>
      <w:r w:rsidRPr="00403A7C">
        <w:t>shifts in</w:t>
      </w:r>
      <w:r w:rsidR="0097511A">
        <w:t xml:space="preserve"> data on the</w:t>
      </w:r>
      <w:r w:rsidRPr="00403A7C">
        <w:t xml:space="preserve"> </w:t>
      </w:r>
      <w:r>
        <w:t>workplace gender equality indicators</w:t>
      </w:r>
      <w:r w:rsidR="009759D2">
        <w:t>.</w:t>
      </w:r>
      <w:r>
        <w:t xml:space="preserve"> </w:t>
      </w:r>
    </w:p>
    <w:p w14:paraId="1CD52A12" w14:textId="61EFAB7D" w:rsidR="0067124C" w:rsidRDefault="009759D2" w:rsidP="00361E62">
      <w:pPr>
        <w:pStyle w:val="Body"/>
      </w:pPr>
      <w:r>
        <w:t xml:space="preserve">The </w:t>
      </w:r>
      <w:r w:rsidR="002C1B57">
        <w:t>progress</w:t>
      </w:r>
      <w:r>
        <w:t xml:space="preserve"> report is an opportunity to </w:t>
      </w:r>
      <w:r w:rsidR="0067124C">
        <w:t>explain these challenges</w:t>
      </w:r>
      <w:r>
        <w:t>.</w:t>
      </w:r>
      <w:r w:rsidR="0067124C">
        <w:t xml:space="preserve"> </w:t>
      </w:r>
      <w:r>
        <w:t>The Commissioner will take this into account</w:t>
      </w:r>
      <w:r w:rsidR="0067124C">
        <w:t xml:space="preserve"> when assessing progress reports for compliance with the Act. </w:t>
      </w:r>
    </w:p>
    <w:p w14:paraId="1665225F" w14:textId="77777777" w:rsidR="0067124C" w:rsidRDefault="0067124C" w:rsidP="0067124C">
      <w:pPr>
        <w:pStyle w:val="Heading2"/>
      </w:pPr>
      <w:r w:rsidRPr="00DF4A8C">
        <w:t>What you need to do</w:t>
      </w:r>
      <w:r>
        <w:t xml:space="preserve"> </w:t>
      </w:r>
    </w:p>
    <w:p w14:paraId="46C78328" w14:textId="5C3F6D3C" w:rsidR="009759D2" w:rsidRDefault="0067124C" w:rsidP="0067124C">
      <w:pPr>
        <w:pStyle w:val="Body"/>
        <w:rPr>
          <w:rFonts w:cstheme="minorHAnsi"/>
        </w:rPr>
      </w:pPr>
      <w:r w:rsidRPr="009A3E8A">
        <w:rPr>
          <w:rFonts w:cstheme="minorHAnsi"/>
        </w:rPr>
        <w:t xml:space="preserve">Completing your progress report </w:t>
      </w:r>
      <w:r>
        <w:rPr>
          <w:rFonts w:cstheme="minorHAnsi"/>
        </w:rPr>
        <w:t>can</w:t>
      </w:r>
      <w:r w:rsidRPr="009A3E8A">
        <w:rPr>
          <w:rFonts w:cstheme="minorHAnsi"/>
        </w:rPr>
        <w:t xml:space="preserve"> take time.</w:t>
      </w:r>
      <w:r>
        <w:rPr>
          <w:rFonts w:cstheme="minorHAnsi"/>
        </w:rPr>
        <w:t xml:space="preserve"> </w:t>
      </w:r>
    </w:p>
    <w:p w14:paraId="640EFA87" w14:textId="084E8E3C" w:rsidR="009759D2" w:rsidRDefault="009759D2" w:rsidP="0067124C">
      <w:pPr>
        <w:pStyle w:val="Body"/>
        <w:rPr>
          <w:rFonts w:cstheme="minorHAnsi"/>
        </w:rPr>
      </w:pPr>
      <w:r>
        <w:rPr>
          <w:rFonts w:cstheme="minorHAnsi"/>
        </w:rPr>
        <w:t xml:space="preserve">Start </w:t>
      </w:r>
      <w:r w:rsidR="0067124C">
        <w:rPr>
          <w:rFonts w:cstheme="minorHAnsi"/>
        </w:rPr>
        <w:t xml:space="preserve">collecting the information you need to report on your progress as soon as possible. </w:t>
      </w:r>
    </w:p>
    <w:p w14:paraId="4DED6479" w14:textId="50452BF3" w:rsidR="009759D2" w:rsidRDefault="009759D2" w:rsidP="0067124C">
      <w:pPr>
        <w:pStyle w:val="Body"/>
        <w:rPr>
          <w:rFonts w:cstheme="minorHAnsi"/>
        </w:rPr>
      </w:pPr>
      <w:r>
        <w:rPr>
          <w:rFonts w:cstheme="minorHAnsi"/>
        </w:rPr>
        <w:t>Ideally</w:t>
      </w:r>
      <w:r w:rsidR="0067124C">
        <w:rPr>
          <w:rFonts w:cstheme="minorHAnsi"/>
        </w:rPr>
        <w:t xml:space="preserve">, </w:t>
      </w:r>
      <w:r>
        <w:rPr>
          <w:rFonts w:cstheme="minorHAnsi"/>
        </w:rPr>
        <w:t xml:space="preserve">your organisation established a </w:t>
      </w:r>
      <w:r w:rsidR="0067124C">
        <w:rPr>
          <w:rFonts w:cstheme="minorHAnsi"/>
        </w:rPr>
        <w:t xml:space="preserve">monitoring system </w:t>
      </w:r>
      <w:r>
        <w:rPr>
          <w:rFonts w:cstheme="minorHAnsi"/>
        </w:rPr>
        <w:t xml:space="preserve">during GEAP implementation </w:t>
      </w:r>
      <w:r w:rsidR="0067124C">
        <w:rPr>
          <w:rFonts w:cstheme="minorHAnsi"/>
        </w:rPr>
        <w:t>to collect the information you need.</w:t>
      </w:r>
    </w:p>
    <w:p w14:paraId="40E45CCB" w14:textId="08B3F52E" w:rsidR="0067124C" w:rsidRPr="009A3E8A" w:rsidRDefault="009759D2" w:rsidP="0067124C">
      <w:pPr>
        <w:pStyle w:val="Body"/>
        <w:rPr>
          <w:rFonts w:cstheme="minorHAnsi"/>
        </w:rPr>
      </w:pPr>
      <w:r>
        <w:rPr>
          <w:rFonts w:cstheme="minorHAnsi"/>
        </w:rPr>
        <w:t xml:space="preserve">For example, this might include </w:t>
      </w:r>
      <w:r w:rsidR="0067124C">
        <w:rPr>
          <w:rFonts w:cstheme="minorHAnsi"/>
        </w:rPr>
        <w:t>a whole-of-organisation GIA reporting system that collects the required information throughout the reporting cycle.</w:t>
      </w:r>
    </w:p>
    <w:p w14:paraId="13C8C020" w14:textId="42FCBC8B" w:rsidR="0067124C" w:rsidRDefault="0067124C" w:rsidP="0067124C">
      <w:pPr>
        <w:pStyle w:val="Body"/>
        <w:rPr>
          <w:rFonts w:cstheme="minorHAnsi"/>
        </w:rPr>
      </w:pPr>
      <w:r w:rsidRPr="00A964EC">
        <w:rPr>
          <w:rFonts w:cstheme="minorHAnsi"/>
        </w:rPr>
        <w:t>B</w:t>
      </w:r>
      <w:r>
        <w:rPr>
          <w:rFonts w:cstheme="minorHAnsi"/>
        </w:rPr>
        <w:t xml:space="preserve">efore submitting your </w:t>
      </w:r>
      <w:hyperlink r:id="rId18" w:history="1">
        <w:r w:rsidRPr="00F446F8">
          <w:rPr>
            <w:rStyle w:val="Hyperlink"/>
            <w:rFonts w:cstheme="minorHAnsi"/>
          </w:rPr>
          <w:t>progress report</w:t>
        </w:r>
      </w:hyperlink>
      <w:r>
        <w:rPr>
          <w:rFonts w:cstheme="minorHAnsi"/>
        </w:rPr>
        <w:t>,</w:t>
      </w:r>
      <w:r w:rsidR="009759D2">
        <w:rPr>
          <w:rStyle w:val="FootnoteReference"/>
          <w:rFonts w:cstheme="minorHAnsi"/>
        </w:rPr>
        <w:footnoteReference w:id="2"/>
      </w:r>
      <w:r>
        <w:rPr>
          <w:rFonts w:cstheme="minorHAnsi"/>
        </w:rPr>
        <w:t xml:space="preserve"> ensure </w:t>
      </w:r>
      <w:r w:rsidR="006F2308">
        <w:rPr>
          <w:rFonts w:cstheme="minorHAnsi"/>
        </w:rPr>
        <w:t xml:space="preserve">it </w:t>
      </w:r>
      <w:r w:rsidR="009759D2">
        <w:rPr>
          <w:rFonts w:cstheme="minorHAnsi"/>
        </w:rPr>
        <w:t>complies</w:t>
      </w:r>
      <w:r>
        <w:rPr>
          <w:rFonts w:cstheme="minorHAnsi"/>
        </w:rPr>
        <w:t xml:space="preserve"> with the </w:t>
      </w:r>
      <w:hyperlink r:id="rId19" w:history="1">
        <w:r w:rsidRPr="00F446F8">
          <w:rPr>
            <w:rStyle w:val="Hyperlink"/>
            <w:rFonts w:cstheme="minorHAnsi"/>
          </w:rPr>
          <w:t>Gender Equality Act</w:t>
        </w:r>
      </w:hyperlink>
      <w:r>
        <w:rPr>
          <w:rFonts w:cstheme="minorHAnsi"/>
        </w:rPr>
        <w:t xml:space="preserve">. </w:t>
      </w:r>
    </w:p>
    <w:p w14:paraId="177F4014" w14:textId="74DA050C" w:rsidR="0067124C" w:rsidRDefault="0067124C" w:rsidP="0067124C">
      <w:pPr>
        <w:pStyle w:val="Body"/>
        <w:rPr>
          <w:rFonts w:cstheme="minorHAnsi"/>
        </w:rPr>
      </w:pPr>
      <w:r w:rsidRPr="00F4775D">
        <w:rPr>
          <w:rFonts w:cstheme="minorHAnsi"/>
        </w:rPr>
        <w:t xml:space="preserve">Use the checklist at the end of this guidance to </w:t>
      </w:r>
      <w:r w:rsidR="006F2308">
        <w:rPr>
          <w:rFonts w:cstheme="minorHAnsi"/>
        </w:rPr>
        <w:t>check</w:t>
      </w:r>
      <w:r w:rsidR="006F2308" w:rsidRPr="00F4775D">
        <w:rPr>
          <w:rFonts w:cstheme="minorHAnsi"/>
        </w:rPr>
        <w:t xml:space="preserve"> </w:t>
      </w:r>
      <w:r w:rsidRPr="00F4775D">
        <w:rPr>
          <w:rFonts w:cstheme="minorHAnsi"/>
        </w:rPr>
        <w:t>you have included all the required information.</w:t>
      </w:r>
    </w:p>
    <w:p w14:paraId="07C9F871" w14:textId="1E87FC39" w:rsidR="0067124C" w:rsidRDefault="0067124C" w:rsidP="0067124C">
      <w:pPr>
        <w:pStyle w:val="Body"/>
        <w:rPr>
          <w:rFonts w:cstheme="minorHAnsi"/>
        </w:rPr>
      </w:pPr>
      <w:r>
        <w:rPr>
          <w:rFonts w:cstheme="minorHAnsi"/>
        </w:rPr>
        <w:t xml:space="preserve">This guidance corresponds with the </w:t>
      </w:r>
      <w:r w:rsidR="00BB71C0">
        <w:rPr>
          <w:rFonts w:cstheme="minorHAnsi"/>
        </w:rPr>
        <w:t xml:space="preserve">2026 </w:t>
      </w:r>
      <w:commentRangeStart w:id="0"/>
      <w:r w:rsidRPr="006A7BC5">
        <w:rPr>
          <w:highlight w:val="lightGray"/>
        </w:rPr>
        <w:t>progress report template</w:t>
      </w:r>
      <w:commentRangeEnd w:id="0"/>
      <w:r w:rsidR="002E65B0">
        <w:rPr>
          <w:rStyle w:val="CommentReference"/>
          <w:rFonts w:ascii="VIC" w:eastAsiaTheme="minorHAnsi" w:hAnsi="VIC" w:cstheme="minorBidi"/>
        </w:rPr>
        <w:commentReference w:id="0"/>
      </w:r>
      <w:r w:rsidRPr="006A7BC5">
        <w:t>.</w:t>
      </w:r>
      <w:r>
        <w:rPr>
          <w:rFonts w:cstheme="minorHAnsi"/>
        </w:rPr>
        <w:t xml:space="preserve"> You will find guidance on:</w:t>
      </w:r>
    </w:p>
    <w:p w14:paraId="6A4CAADD" w14:textId="77777777" w:rsidR="0067124C" w:rsidRPr="009759D2" w:rsidRDefault="0067124C" w:rsidP="00F538C8">
      <w:pPr>
        <w:pStyle w:val="Bullet1"/>
      </w:pPr>
      <w:r w:rsidRPr="009759D2">
        <w:rPr>
          <w:highlight w:val="lightGray"/>
        </w:rPr>
        <w:t>Cover page</w:t>
      </w:r>
    </w:p>
    <w:p w14:paraId="1A43D9BF" w14:textId="7E25F855" w:rsidR="0067124C" w:rsidRDefault="0067124C" w:rsidP="00F538C8">
      <w:pPr>
        <w:pStyle w:val="Bullet1"/>
      </w:pPr>
      <w:r w:rsidRPr="005E4190">
        <w:rPr>
          <w:highlight w:val="lightGray"/>
        </w:rPr>
        <w:t>Part 1:</w:t>
      </w:r>
      <w:r>
        <w:t xml:space="preserve"> </w:t>
      </w:r>
      <w:r w:rsidRPr="00574606">
        <w:rPr>
          <w:highlight w:val="lightGray"/>
        </w:rPr>
        <w:t xml:space="preserve">Reporting on </w:t>
      </w:r>
      <w:hyperlink w:anchor="_Submission_and_publication" w:history="1">
        <w:r w:rsidRPr="00574606">
          <w:rPr>
            <w:rStyle w:val="Hyperlink"/>
            <w:highlight w:val="lightGray"/>
          </w:rPr>
          <w:t>gender impact assessments (GIA)</w:t>
        </w:r>
      </w:hyperlink>
      <w:r>
        <w:t xml:space="preserve"> </w:t>
      </w:r>
    </w:p>
    <w:p w14:paraId="380538B9" w14:textId="77777777" w:rsidR="0067124C" w:rsidRPr="00C95018" w:rsidRDefault="0067124C" w:rsidP="00F538C8">
      <w:pPr>
        <w:pStyle w:val="Bullet2"/>
      </w:pPr>
      <w:r w:rsidRPr="00C95018">
        <w:t xml:space="preserve">Confirming GIA exemptions </w:t>
      </w:r>
    </w:p>
    <w:p w14:paraId="3B5DDDDC" w14:textId="77777777" w:rsidR="0067124C" w:rsidRPr="00C95018" w:rsidRDefault="0067124C" w:rsidP="00F538C8">
      <w:pPr>
        <w:pStyle w:val="Bullet2"/>
      </w:pPr>
      <w:r w:rsidRPr="00C95018">
        <w:t>Describing policies, programs and services subjected to GIA</w:t>
      </w:r>
    </w:p>
    <w:p w14:paraId="1B1513CC" w14:textId="77777777" w:rsidR="0067124C" w:rsidRPr="00C95018" w:rsidRDefault="0067124C" w:rsidP="00F538C8">
      <w:pPr>
        <w:pStyle w:val="Bullet2"/>
      </w:pPr>
      <w:r w:rsidRPr="00C95018">
        <w:t xml:space="preserve">Describing actions taken </w:t>
      </w:r>
      <w:proofErr w:type="gramStart"/>
      <w:r w:rsidRPr="00C95018">
        <w:t>as a result of</w:t>
      </w:r>
      <w:proofErr w:type="gramEnd"/>
      <w:r w:rsidRPr="00C95018">
        <w:t xml:space="preserve"> a GIA</w:t>
      </w:r>
    </w:p>
    <w:p w14:paraId="12A5288B" w14:textId="11B4D84E" w:rsidR="0067124C" w:rsidRDefault="0067124C" w:rsidP="00F538C8">
      <w:pPr>
        <w:pStyle w:val="Bullet1"/>
      </w:pPr>
      <w:r w:rsidRPr="005E4190">
        <w:rPr>
          <w:highlight w:val="lightGray"/>
        </w:rPr>
        <w:t>Part 2:</w:t>
      </w:r>
      <w:r>
        <w:t xml:space="preserve"> </w:t>
      </w:r>
      <w:r w:rsidRPr="005E4190">
        <w:rPr>
          <w:highlight w:val="lightGray"/>
        </w:rPr>
        <w:t xml:space="preserve">Reporting on </w:t>
      </w:r>
      <w:r w:rsidRPr="00C95018">
        <w:rPr>
          <w:highlight w:val="lightGray"/>
        </w:rPr>
        <w:t>progress</w:t>
      </w:r>
      <w:r w:rsidRPr="005E4190">
        <w:rPr>
          <w:highlight w:val="lightGray"/>
        </w:rPr>
        <w:t xml:space="preserve"> against the </w:t>
      </w:r>
      <w:hyperlink w:anchor="_Workplace_gender_equality" w:history="1">
        <w:r w:rsidRPr="005E4190">
          <w:rPr>
            <w:rStyle w:val="Hyperlink"/>
            <w:highlight w:val="lightGray"/>
          </w:rPr>
          <w:t>indicators</w:t>
        </w:r>
      </w:hyperlink>
    </w:p>
    <w:p w14:paraId="65110F25" w14:textId="77777777" w:rsidR="0067124C" w:rsidRPr="00C95018" w:rsidRDefault="0067124C" w:rsidP="00F538C8">
      <w:pPr>
        <w:pStyle w:val="Bullet2"/>
      </w:pPr>
      <w:r w:rsidRPr="00C95018">
        <w:t>Completing your progress audit and analysing the data</w:t>
      </w:r>
    </w:p>
    <w:p w14:paraId="5A7EF68D" w14:textId="77777777" w:rsidR="0067124C" w:rsidRPr="00C95018" w:rsidRDefault="0067124C" w:rsidP="00F538C8">
      <w:pPr>
        <w:pStyle w:val="Bullet2"/>
      </w:pPr>
      <w:r w:rsidRPr="00C95018">
        <w:t>Describing progress against the indicators</w:t>
      </w:r>
    </w:p>
    <w:p w14:paraId="53C55F94" w14:textId="77777777" w:rsidR="0067124C" w:rsidRPr="00C95018" w:rsidRDefault="0067124C" w:rsidP="00F538C8">
      <w:pPr>
        <w:pStyle w:val="Bullet2"/>
      </w:pPr>
      <w:r w:rsidRPr="00C95018">
        <w:t>Describing factors contributing to or inhibiting progress</w:t>
      </w:r>
    </w:p>
    <w:p w14:paraId="55F0A13B" w14:textId="61DAF2E3" w:rsidR="0067124C" w:rsidRDefault="0067124C" w:rsidP="00F538C8">
      <w:pPr>
        <w:pStyle w:val="Bullet1"/>
      </w:pPr>
      <w:r w:rsidRPr="00FF4F26">
        <w:rPr>
          <w:highlight w:val="lightGray"/>
        </w:rPr>
        <w:t xml:space="preserve">Part 3: Reporting on </w:t>
      </w:r>
      <w:hyperlink w:anchor="_GEAP_strategies_and" w:history="1">
        <w:r w:rsidRPr="00FF4F26">
          <w:rPr>
            <w:rStyle w:val="Hyperlink"/>
            <w:highlight w:val="lightGray"/>
          </w:rPr>
          <w:t>GEAP strategies</w:t>
        </w:r>
      </w:hyperlink>
    </w:p>
    <w:p w14:paraId="0B6646ED" w14:textId="77777777" w:rsidR="0067124C" w:rsidRPr="00C95018" w:rsidRDefault="0067124C" w:rsidP="00F538C8">
      <w:pPr>
        <w:pStyle w:val="Bullet2"/>
      </w:pPr>
      <w:r w:rsidRPr="00C95018">
        <w:t>Explaining incomplete strategies</w:t>
      </w:r>
    </w:p>
    <w:p w14:paraId="6DBBBA8D" w14:textId="77777777" w:rsidR="0067124C" w:rsidRPr="00C95018" w:rsidRDefault="0067124C" w:rsidP="00F538C8">
      <w:pPr>
        <w:pStyle w:val="Bullet2"/>
      </w:pPr>
      <w:r w:rsidRPr="00C95018">
        <w:t>Describing achievements, challenges and learnings</w:t>
      </w:r>
    </w:p>
    <w:p w14:paraId="55F0A5DD" w14:textId="77777777" w:rsidR="0067124C" w:rsidRPr="00C95018" w:rsidRDefault="0067124C" w:rsidP="00F538C8">
      <w:pPr>
        <w:pStyle w:val="Bullet2"/>
      </w:pPr>
      <w:r w:rsidRPr="00C95018">
        <w:t>Providing other updates on implementation</w:t>
      </w:r>
    </w:p>
    <w:p w14:paraId="0C17E5AE" w14:textId="77777777" w:rsidR="0067124C" w:rsidRPr="00C95018" w:rsidRDefault="0067124C" w:rsidP="00F538C8">
      <w:pPr>
        <w:pStyle w:val="Bullet2"/>
      </w:pPr>
      <w:r w:rsidRPr="00C95018">
        <w:t>Describing resourcing allocation</w:t>
      </w:r>
    </w:p>
    <w:p w14:paraId="0BD30840" w14:textId="77777777" w:rsidR="0067124C" w:rsidRDefault="0067124C" w:rsidP="00F538C8">
      <w:pPr>
        <w:pStyle w:val="Bullet1"/>
        <w:rPr>
          <w:rStyle w:val="Hyperlink"/>
        </w:rPr>
      </w:pPr>
      <w:r>
        <w:t xml:space="preserve">Part 4: </w:t>
      </w:r>
      <w:hyperlink w:anchor="_Appendix_A" w:history="1">
        <w:r w:rsidRPr="00F446F8">
          <w:rPr>
            <w:rStyle w:val="Hyperlink"/>
          </w:rPr>
          <w:t>Submission and publication</w:t>
        </w:r>
      </w:hyperlink>
    </w:p>
    <w:p w14:paraId="39F03007" w14:textId="69A272BB" w:rsidR="006F2308" w:rsidRDefault="006F2308">
      <w:pPr>
        <w:rPr>
          <w:rFonts w:eastAsia="Times" w:cs="Times New Roman"/>
          <w:szCs w:val="20"/>
        </w:rPr>
      </w:pPr>
      <w:r>
        <w:br w:type="page"/>
      </w:r>
    </w:p>
    <w:p w14:paraId="002825E5" w14:textId="77777777" w:rsidR="00EB396E" w:rsidRDefault="00EB396E" w:rsidP="00EB396E">
      <w:pPr>
        <w:pStyle w:val="Body"/>
      </w:pPr>
      <w:r>
        <w:t xml:space="preserve">For an accessible version of this guidance and/or template, please reach out to </w:t>
      </w:r>
      <w:hyperlink r:id="rId24" w:history="1">
        <w:r w:rsidRPr="00EA43CF">
          <w:rPr>
            <w:rStyle w:val="Hyperlink"/>
          </w:rPr>
          <w:t>enquiries@genderequalitycommission.vic.gov.au</w:t>
        </w:r>
      </w:hyperlink>
      <w:r>
        <w:t xml:space="preserve"> </w:t>
      </w:r>
    </w:p>
    <w:p w14:paraId="18185CCF" w14:textId="77777777" w:rsidR="0067124C" w:rsidRPr="007A767E" w:rsidRDefault="0067124C" w:rsidP="0067124C">
      <w:pPr>
        <w:pStyle w:val="Body"/>
      </w:pPr>
    </w:p>
    <w:tbl>
      <w:tblPr>
        <w:tblStyle w:val="TableGrid"/>
        <w:tblW w:w="0" w:type="auto"/>
        <w:tblLayout w:type="fixed"/>
        <w:tblLook w:val="04A0" w:firstRow="1" w:lastRow="0" w:firstColumn="1" w:lastColumn="0" w:noHBand="0" w:noVBand="1"/>
      </w:tblPr>
      <w:tblGrid>
        <w:gridCol w:w="9016"/>
      </w:tblGrid>
      <w:tr w:rsidR="0067124C" w14:paraId="53176B82" w14:textId="77777777" w:rsidTr="007F6E03">
        <w:tc>
          <w:tcPr>
            <w:tcW w:w="9016" w:type="dxa"/>
          </w:tcPr>
          <w:p w14:paraId="4E6F5FE6" w14:textId="77777777" w:rsidR="0067124C" w:rsidRPr="008F5397" w:rsidRDefault="0067124C" w:rsidP="00F538C8">
            <w:pPr>
              <w:pStyle w:val="Body"/>
              <w:keepNext/>
              <w:keepLines/>
              <w:rPr>
                <w:bCs/>
              </w:rPr>
            </w:pPr>
            <w:r w:rsidRPr="00F538C8">
              <w:rPr>
                <w:b/>
                <w:bCs/>
              </w:rPr>
              <w:t>Helpful resources</w:t>
            </w:r>
          </w:p>
          <w:p w14:paraId="21BECEDA" w14:textId="068659BE" w:rsidR="0067124C" w:rsidRPr="000D4763" w:rsidRDefault="0067124C" w:rsidP="000D4763">
            <w:pPr>
              <w:pStyle w:val="Bullet1"/>
            </w:pPr>
            <w:r w:rsidRPr="000D4763">
              <w:t xml:space="preserve">Explore the </w:t>
            </w:r>
            <w:hyperlink r:id="rId25" w:history="1">
              <w:r w:rsidRPr="000D4763">
                <w:rPr>
                  <w:rStyle w:val="Hyperlink"/>
                  <w:color w:val="auto"/>
                  <w:u w:val="none"/>
                </w:rPr>
                <w:t>gender impact assessments</w:t>
              </w:r>
            </w:hyperlink>
            <w:r w:rsidRPr="000D4763">
              <w:t xml:space="preserve"> page for more details</w:t>
            </w:r>
          </w:p>
          <w:p w14:paraId="301241EF" w14:textId="77777777" w:rsidR="0067124C" w:rsidRPr="000D4763" w:rsidRDefault="0067124C" w:rsidP="000D4763">
            <w:pPr>
              <w:pStyle w:val="Bullet1"/>
            </w:pPr>
            <w:r w:rsidRPr="000D4763">
              <w:t xml:space="preserve">Click on </w:t>
            </w:r>
            <w:hyperlink r:id="rId26" w:history="1">
              <w:r w:rsidRPr="000D4763">
                <w:rPr>
                  <w:rStyle w:val="Hyperlink"/>
                  <w:color w:val="auto"/>
                  <w:u w:val="none"/>
                </w:rPr>
                <w:t>workplace gender equality indicators</w:t>
              </w:r>
            </w:hyperlink>
            <w:r w:rsidRPr="000D4763">
              <w:t xml:space="preserve"> to access further information.</w:t>
            </w:r>
          </w:p>
          <w:p w14:paraId="47784544" w14:textId="77777777" w:rsidR="0067124C" w:rsidRPr="000D4763" w:rsidRDefault="0067124C" w:rsidP="000D4763">
            <w:pPr>
              <w:pStyle w:val="Bullet1"/>
            </w:pPr>
            <w:r w:rsidRPr="000D4763">
              <w:t xml:space="preserve">Find more information about </w:t>
            </w:r>
            <w:hyperlink r:id="rId27" w:history="1">
              <w:r w:rsidRPr="000D4763">
                <w:rPr>
                  <w:rStyle w:val="Hyperlink"/>
                  <w:color w:val="auto"/>
                  <w:u w:val="none"/>
                </w:rPr>
                <w:t>GEAPs</w:t>
              </w:r>
            </w:hyperlink>
            <w:r w:rsidRPr="000D4763">
              <w:rPr>
                <w:rStyle w:val="Hyperlink"/>
                <w:color w:val="auto"/>
                <w:u w:val="none"/>
              </w:rPr>
              <w:t>.</w:t>
            </w:r>
          </w:p>
          <w:p w14:paraId="6C061A91" w14:textId="77777777" w:rsidR="0067124C" w:rsidRPr="000D4763" w:rsidRDefault="0067124C" w:rsidP="000D4763">
            <w:pPr>
              <w:pStyle w:val="Bullet1"/>
            </w:pPr>
            <w:r w:rsidRPr="000D4763">
              <w:t xml:space="preserve">Learn more about maintaining </w:t>
            </w:r>
            <w:hyperlink r:id="rId28" w:history="1">
              <w:r w:rsidRPr="000D4763">
                <w:rPr>
                  <w:rStyle w:val="Hyperlink"/>
                  <w:color w:val="auto"/>
                  <w:u w:val="none"/>
                </w:rPr>
                <w:t>employee privacy</w:t>
              </w:r>
            </w:hyperlink>
            <w:r w:rsidRPr="000D4763">
              <w:rPr>
                <w:rStyle w:val="Hyperlink"/>
                <w:color w:val="auto"/>
                <w:u w:val="none"/>
              </w:rPr>
              <w:t>.</w:t>
            </w:r>
          </w:p>
          <w:p w14:paraId="413616D9" w14:textId="77777777" w:rsidR="0067124C" w:rsidRPr="008B053F" w:rsidRDefault="0067124C" w:rsidP="000D4763">
            <w:pPr>
              <w:pStyle w:val="Bullet1"/>
              <w:rPr>
                <w:rFonts w:cstheme="minorHAnsi"/>
              </w:rPr>
            </w:pPr>
            <w:r w:rsidRPr="000D4763">
              <w:t xml:space="preserve">Access </w:t>
            </w:r>
            <w:hyperlink r:id="rId29" w:history="1">
              <w:r w:rsidRPr="000D4763">
                <w:rPr>
                  <w:rStyle w:val="Hyperlink"/>
                  <w:color w:val="auto"/>
                  <w:u w:val="none"/>
                </w:rPr>
                <w:t>leading practice resources</w:t>
              </w:r>
            </w:hyperlink>
            <w:r w:rsidRPr="000D4763">
              <w:t xml:space="preserve"> including, research, tools and guidelines across a range of areas.</w:t>
            </w:r>
          </w:p>
        </w:tc>
      </w:tr>
    </w:tbl>
    <w:p w14:paraId="44842A8D" w14:textId="77777777" w:rsidR="0067124C" w:rsidRDefault="0067124C" w:rsidP="0067124C"/>
    <w:p w14:paraId="1D613246" w14:textId="7BDB1982" w:rsidR="0067124C" w:rsidRPr="00C65D60" w:rsidRDefault="0067124C" w:rsidP="0067124C">
      <w:pPr>
        <w:pStyle w:val="Heading2"/>
      </w:pPr>
      <w:r>
        <w:t xml:space="preserve">Requirements under the Act </w:t>
      </w:r>
    </w:p>
    <w:p w14:paraId="34D2731C" w14:textId="1F6E851E" w:rsidR="0067124C" w:rsidRPr="00EC4C7E" w:rsidRDefault="0067124C" w:rsidP="0067124C">
      <w:pPr>
        <w:pStyle w:val="Body"/>
      </w:pPr>
      <w:r w:rsidRPr="00EC4C7E">
        <w:t>Progress reports must</w:t>
      </w:r>
      <w:r>
        <w:t xml:space="preserve"> address the following </w:t>
      </w:r>
      <w:r w:rsidR="006F2308">
        <w:t xml:space="preserve">4 </w:t>
      </w:r>
      <w:r>
        <w:t>elements:</w:t>
      </w:r>
      <w:r>
        <w:rPr>
          <w:rStyle w:val="FootnoteReference"/>
        </w:rPr>
        <w:footnoteReference w:id="3"/>
      </w:r>
    </w:p>
    <w:p w14:paraId="0896BE2F" w14:textId="02681D2B" w:rsidR="0067124C" w:rsidRDefault="0067124C" w:rsidP="0067124C">
      <w:pPr>
        <w:pStyle w:val="Body"/>
        <w:numPr>
          <w:ilvl w:val="0"/>
          <w:numId w:val="2"/>
        </w:numPr>
      </w:pPr>
      <w:r w:rsidRPr="00AF2EAF">
        <w:rPr>
          <w:b/>
          <w:bCs/>
        </w:rPr>
        <w:t>Gender impact assessments</w:t>
      </w:r>
      <w:r w:rsidRPr="00AF2EAF">
        <w:t xml:space="preserve"> (GIA): report on the policies, programs and services that were subject to a GIA and the outcomes of </w:t>
      </w:r>
      <w:r>
        <w:t>each</w:t>
      </w:r>
      <w:r w:rsidRPr="00AF2EAF">
        <w:t xml:space="preserve"> GIA</w:t>
      </w:r>
      <w:r>
        <w:t>.</w:t>
      </w:r>
    </w:p>
    <w:p w14:paraId="1A0ACFB8" w14:textId="77777777" w:rsidR="0067124C" w:rsidRPr="00AF2EAF" w:rsidRDefault="0067124C" w:rsidP="0067124C">
      <w:pPr>
        <w:pStyle w:val="Body"/>
        <w:numPr>
          <w:ilvl w:val="0"/>
          <w:numId w:val="2"/>
        </w:numPr>
      </w:pPr>
      <w:r w:rsidRPr="00AF2EAF">
        <w:rPr>
          <w:b/>
          <w:bCs/>
        </w:rPr>
        <w:t>Workplace gender equality indicators</w:t>
      </w:r>
      <w:r w:rsidRPr="00AF2EAF">
        <w:t xml:space="preserve">: demonstrate </w:t>
      </w:r>
      <w:r>
        <w:t>your organisation’s</w:t>
      </w:r>
      <w:r w:rsidRPr="00AF2EAF">
        <w:t xml:space="preserve"> progress in relation to the indicators</w:t>
      </w:r>
      <w:r>
        <w:t>.</w:t>
      </w:r>
    </w:p>
    <w:p w14:paraId="2BCF73A0" w14:textId="77777777" w:rsidR="0067124C" w:rsidRPr="00AF2EAF" w:rsidRDefault="0067124C" w:rsidP="0067124C">
      <w:pPr>
        <w:pStyle w:val="Body"/>
        <w:numPr>
          <w:ilvl w:val="0"/>
          <w:numId w:val="2"/>
        </w:numPr>
      </w:pPr>
      <w:r w:rsidRPr="00AF2EAF">
        <w:rPr>
          <w:b/>
          <w:bCs/>
        </w:rPr>
        <w:t>Gender equality action plan</w:t>
      </w:r>
      <w:r w:rsidRPr="00AF2EAF">
        <w:t xml:space="preserve"> (GEAP): report </w:t>
      </w:r>
      <w:r>
        <w:t>your organisation’s</w:t>
      </w:r>
      <w:r w:rsidRPr="00AF2EAF">
        <w:t xml:space="preserve"> progress in relation to the strategies listed in </w:t>
      </w:r>
      <w:r>
        <w:t>your</w:t>
      </w:r>
      <w:r w:rsidRPr="00AF2EAF">
        <w:t xml:space="preserve"> GEAP.</w:t>
      </w:r>
    </w:p>
    <w:p w14:paraId="50939A4A" w14:textId="77777777" w:rsidR="0067124C" w:rsidRDefault="0067124C" w:rsidP="0067124C">
      <w:pPr>
        <w:pStyle w:val="Body"/>
        <w:numPr>
          <w:ilvl w:val="0"/>
          <w:numId w:val="2"/>
        </w:numPr>
      </w:pPr>
      <w:r w:rsidRPr="00B02C35">
        <w:rPr>
          <w:b/>
          <w:bCs/>
        </w:rPr>
        <w:t>Gender equality targets and quotas</w:t>
      </w:r>
      <w:r w:rsidRPr="00AF2EAF">
        <w:t xml:space="preserve">: demonstrate </w:t>
      </w:r>
      <w:r>
        <w:t>your organisation’s</w:t>
      </w:r>
      <w:r w:rsidRPr="00AF2EAF">
        <w:t xml:space="preserve"> progress towards meeting any prescribed gender equality targets or quotas.</w:t>
      </w:r>
      <w:r>
        <w:t xml:space="preserve"> Please note there are currently no prescribed gender equality targets or quotas in place. Therefore,</w:t>
      </w:r>
      <w:r w:rsidDel="001C0F8A">
        <w:t xml:space="preserve"> </w:t>
      </w:r>
      <w:r>
        <w:t>you are not required to report on</w:t>
      </w:r>
      <w:r w:rsidDel="005D774C">
        <w:t xml:space="preserve"> </w:t>
      </w:r>
      <w:r>
        <w:t>this in the current round of progress report.</w:t>
      </w:r>
      <w:r>
        <w:rPr>
          <w:rStyle w:val="FootnoteReference"/>
        </w:rPr>
        <w:footnoteReference w:id="4"/>
      </w:r>
      <w:r>
        <w:t xml:space="preserve"> Guidelines to report on progress against targets and quotas will be published if they are prescribed by regulation.</w:t>
      </w:r>
    </w:p>
    <w:p w14:paraId="6A066899" w14:textId="77777777" w:rsidR="0067124C" w:rsidRPr="00BD265C" w:rsidRDefault="0067124C" w:rsidP="0067124C">
      <w:pPr>
        <w:pStyle w:val="Heading3"/>
      </w:pPr>
      <w:r w:rsidRPr="00BD265C">
        <w:t xml:space="preserve">Privacy and confidentiality </w:t>
      </w:r>
    </w:p>
    <w:p w14:paraId="12E7A108" w14:textId="77777777" w:rsidR="0067124C" w:rsidRDefault="0067124C" w:rsidP="0067124C">
      <w:pPr>
        <w:pStyle w:val="Body"/>
      </w:pPr>
      <w:r>
        <w:t xml:space="preserve">It is important to ensure the privacy and confidentiality of your workforce is maintained throughout the progress report process. </w:t>
      </w:r>
    </w:p>
    <w:p w14:paraId="5B197583" w14:textId="77777777" w:rsidR="0067124C" w:rsidRDefault="0067124C" w:rsidP="0067124C">
      <w:pPr>
        <w:pStyle w:val="Body"/>
      </w:pPr>
      <w:r>
        <w:t xml:space="preserve">Information provided to the Public Sector Gender Equality Commissioner will be managed in line with relevant privacy laws. </w:t>
      </w:r>
    </w:p>
    <w:p w14:paraId="7ABE18F9" w14:textId="77777777" w:rsidR="0067124C" w:rsidRDefault="0067124C" w:rsidP="0067124C">
      <w:pPr>
        <w:pStyle w:val="Body"/>
      </w:pPr>
      <w:r w:rsidRPr="00637480">
        <w:t>Duty holders (defined entities)</w:t>
      </w:r>
      <w:r>
        <w:t xml:space="preserve"> are responsible for their own compliance with relevant privacy laws, including the </w:t>
      </w:r>
      <w:r w:rsidRPr="00CE55B9">
        <w:rPr>
          <w:i/>
        </w:rPr>
        <w:t>Privacy and Data Protection Act 2014</w:t>
      </w:r>
      <w:r>
        <w:t xml:space="preserve"> (Vic) (PDP Act). </w:t>
      </w:r>
    </w:p>
    <w:p w14:paraId="133A8DA9" w14:textId="47D375CD" w:rsidR="0067124C" w:rsidRPr="00D40FDA" w:rsidRDefault="0067124C" w:rsidP="0067124C">
      <w:pPr>
        <w:pStyle w:val="Body"/>
      </w:pPr>
      <w:r>
        <w:t>The Information Privacy Principles (IPPs) that are contained in Schedule 1 of the PDP Act set out the minimum standards for how Victorian public sector bodies should manage personal information.</w:t>
      </w:r>
    </w:p>
    <w:p w14:paraId="485956E0" w14:textId="165B19E9" w:rsidR="0067124C" w:rsidRDefault="0067124C" w:rsidP="00753962">
      <w:pPr>
        <w:pStyle w:val="Heading2"/>
      </w:pPr>
      <w:bookmarkStart w:id="1" w:name="_Toc129959259"/>
      <w:bookmarkStart w:id="2" w:name="_Toc130213010"/>
      <w:bookmarkStart w:id="3" w:name="_Toc132101221"/>
      <w:bookmarkStart w:id="4" w:name="_Toc184918421"/>
      <w:r>
        <w:t xml:space="preserve">Key </w:t>
      </w:r>
      <w:r w:rsidRPr="00753962">
        <w:t>dates</w:t>
      </w:r>
      <w:r>
        <w:t xml:space="preserve"> </w:t>
      </w:r>
    </w:p>
    <w:bookmarkEnd w:id="1"/>
    <w:bookmarkEnd w:id="2"/>
    <w:bookmarkEnd w:id="3"/>
    <w:bookmarkEnd w:id="4"/>
    <w:p w14:paraId="175CBAD1" w14:textId="77777777" w:rsidR="00C347CB" w:rsidRPr="000D4763" w:rsidRDefault="0067124C" w:rsidP="000D4763">
      <w:pPr>
        <w:pStyle w:val="Body"/>
        <w:rPr>
          <w:rStyle w:val="Strong"/>
        </w:rPr>
      </w:pPr>
      <w:r w:rsidRPr="00A87B6A">
        <w:rPr>
          <w:rStyle w:val="Strong"/>
        </w:rPr>
        <w:t>You must submit your progress report by 1 May 2026 via the Commission</w:t>
      </w:r>
      <w:r>
        <w:rPr>
          <w:rStyle w:val="Strong"/>
        </w:rPr>
        <w:t>er</w:t>
      </w:r>
      <w:r w:rsidRPr="00A87B6A">
        <w:rPr>
          <w:rStyle w:val="Strong"/>
        </w:rPr>
        <w:t xml:space="preserve">’s reporting platform. </w:t>
      </w:r>
    </w:p>
    <w:p w14:paraId="266697FB" w14:textId="3E10E440" w:rsidR="0067124C" w:rsidRDefault="0067124C" w:rsidP="000D4763">
      <w:pPr>
        <w:pStyle w:val="Body"/>
        <w:rPr>
          <w:rStyle w:val="Strong"/>
        </w:rPr>
      </w:pPr>
      <w:r w:rsidRPr="00A87B6A">
        <w:rPr>
          <w:rStyle w:val="Strong"/>
        </w:rPr>
        <w:t xml:space="preserve">You will submit your GEAP at the same time. Visit the </w:t>
      </w:r>
      <w:r w:rsidR="23DE1E96" w:rsidRPr="334CCBC8">
        <w:rPr>
          <w:rStyle w:val="Strong"/>
        </w:rPr>
        <w:t xml:space="preserve">2026 </w:t>
      </w:r>
      <w:r w:rsidRPr="334CCBC8">
        <w:rPr>
          <w:rStyle w:val="Strong"/>
          <w:highlight w:val="lightGray"/>
        </w:rPr>
        <w:t>GEAP</w:t>
      </w:r>
      <w:r w:rsidRPr="0009091D">
        <w:rPr>
          <w:rStyle w:val="Strong"/>
          <w:highlight w:val="lightGray"/>
        </w:rPr>
        <w:t xml:space="preserve"> guidance </w:t>
      </w:r>
      <w:r w:rsidRPr="00A87B6A">
        <w:rPr>
          <w:rStyle w:val="Strong"/>
        </w:rPr>
        <w:t xml:space="preserve">for further </w:t>
      </w:r>
      <w:r>
        <w:rPr>
          <w:rStyle w:val="Strong"/>
        </w:rPr>
        <w:t>help on how to develop your GEAP.</w:t>
      </w:r>
    </w:p>
    <w:p w14:paraId="48E15266" w14:textId="77777777" w:rsidR="0067124C" w:rsidRDefault="0067124C" w:rsidP="0067124C">
      <w:pPr>
        <w:pStyle w:val="Body"/>
        <w:rPr>
          <w:bCs/>
        </w:rPr>
      </w:pPr>
      <w:r>
        <w:t>The relevant period for t</w:t>
      </w:r>
      <w:r w:rsidRPr="0039143D">
        <w:rPr>
          <w:bCs/>
        </w:rPr>
        <w:t>his progress report</w:t>
      </w:r>
      <w:r w:rsidRPr="006F4BFA">
        <w:rPr>
          <w:b/>
        </w:rPr>
        <w:t xml:space="preserve"> </w:t>
      </w:r>
      <w:r w:rsidRPr="0039143D">
        <w:rPr>
          <w:bCs/>
        </w:rPr>
        <w:t>is</w:t>
      </w:r>
      <w:r>
        <w:rPr>
          <w:bCs/>
        </w:rPr>
        <w:t>:</w:t>
      </w:r>
    </w:p>
    <w:p w14:paraId="0722E135" w14:textId="29113F65" w:rsidR="0067124C" w:rsidRDefault="0067124C" w:rsidP="0067124C">
      <w:pPr>
        <w:pStyle w:val="Bullet1"/>
      </w:pPr>
      <w:r w:rsidRPr="006F4BFA">
        <w:t>1 July 202</w:t>
      </w:r>
      <w:r>
        <w:t>3</w:t>
      </w:r>
      <w:r w:rsidRPr="006F4BFA">
        <w:t xml:space="preserve"> to 30 June 202</w:t>
      </w:r>
      <w:r>
        <w:t>5</w:t>
      </w:r>
      <w:r w:rsidRPr="006F4BFA">
        <w:t xml:space="preserve"> </w:t>
      </w:r>
      <w:r>
        <w:t>for all duty holders (except universities)</w:t>
      </w:r>
    </w:p>
    <w:p w14:paraId="60267309" w14:textId="77777777" w:rsidR="0067124C" w:rsidRDefault="0067124C" w:rsidP="0067124C">
      <w:pPr>
        <w:pStyle w:val="Bullet1"/>
      </w:pPr>
      <w:r w:rsidRPr="006F4BFA">
        <w:t>1 April 202</w:t>
      </w:r>
      <w:r>
        <w:t>3</w:t>
      </w:r>
      <w:r w:rsidRPr="006F4BFA">
        <w:t xml:space="preserve"> to 31 March 202</w:t>
      </w:r>
      <w:r>
        <w:t>5</w:t>
      </w:r>
      <w:r w:rsidRPr="006F4BFA">
        <w:t xml:space="preserve"> for universities</w:t>
      </w:r>
      <w:r>
        <w:t>.</w:t>
      </w:r>
    </w:p>
    <w:p w14:paraId="2F00B96F" w14:textId="54FD879F" w:rsidR="00C347CB" w:rsidRDefault="0067124C" w:rsidP="00C347CB">
      <w:pPr>
        <w:pStyle w:val="Bodyafterbullets"/>
      </w:pPr>
      <w:r>
        <w:t xml:space="preserve">Different </w:t>
      </w:r>
      <w:r w:rsidRPr="00C347CB">
        <w:t>components</w:t>
      </w:r>
      <w:r>
        <w:t xml:space="preserve"> of a progress report may have different </w:t>
      </w:r>
      <w:r w:rsidRPr="00F538C8">
        <w:rPr>
          <w:b/>
          <w:bCs/>
        </w:rPr>
        <w:t>reporting</w:t>
      </w:r>
      <w:r>
        <w:rPr>
          <w:i/>
          <w:iCs/>
        </w:rPr>
        <w:t xml:space="preserve"> </w:t>
      </w:r>
      <w:r w:rsidRPr="00F538C8">
        <w:rPr>
          <w:b/>
          <w:bCs/>
        </w:rPr>
        <w:t>periods</w:t>
      </w:r>
      <w:r>
        <w:t xml:space="preserve"> that fall within the </w:t>
      </w:r>
      <w:r w:rsidRPr="00F538C8">
        <w:rPr>
          <w:b/>
          <w:bCs/>
        </w:rPr>
        <w:t>relevant period</w:t>
      </w:r>
      <w:r>
        <w:t xml:space="preserve">. </w:t>
      </w:r>
      <w:r w:rsidR="00EF2AEC">
        <w:t xml:space="preserve">The </w:t>
      </w:r>
      <w:r w:rsidR="00450437">
        <w:t>relevant</w:t>
      </w:r>
      <w:r w:rsidR="00EF2AEC">
        <w:t xml:space="preserve"> period is the time covered by a progress report, as specified in the Act. A </w:t>
      </w:r>
      <w:r w:rsidR="00450437">
        <w:t>reporting</w:t>
      </w:r>
      <w:r w:rsidR="00EF2AEC">
        <w:t xml:space="preserve"> period is any shorter period within the reporting period where the Commissioner requests particular information.</w:t>
      </w:r>
    </w:p>
    <w:p w14:paraId="3E1816BB" w14:textId="58221807" w:rsidR="0067124C" w:rsidRDefault="0067124C" w:rsidP="00C347CB">
      <w:pPr>
        <w:pStyle w:val="Body"/>
      </w:pPr>
      <w:r>
        <w:t xml:space="preserve">Reporting periods for each component will be explicit throughout this guidance. </w:t>
      </w:r>
    </w:p>
    <w:p w14:paraId="3D2CE471" w14:textId="2662C2A5" w:rsidR="0067124C" w:rsidRPr="00824B83" w:rsidRDefault="00824B83" w:rsidP="0067124C">
      <w:pPr>
        <w:rPr>
          <w:rFonts w:ascii="Arial" w:eastAsia="Times" w:hAnsi="Arial" w:cs="Times New Roman"/>
          <w:sz w:val="21"/>
          <w:szCs w:val="20"/>
        </w:rPr>
      </w:pPr>
      <w:r w:rsidRPr="00824B83">
        <w:rPr>
          <w:rFonts w:ascii="Arial" w:eastAsia="Times" w:hAnsi="Arial" w:cs="Times New Roman"/>
          <w:sz w:val="21"/>
          <w:szCs w:val="20"/>
        </w:rPr>
        <w:t xml:space="preserve">The figure below sets out the </w:t>
      </w:r>
      <w:r w:rsidR="006F5BFA">
        <w:rPr>
          <w:rFonts w:ascii="Arial" w:eastAsia="Times" w:hAnsi="Arial" w:cs="Times New Roman"/>
          <w:sz w:val="21"/>
          <w:szCs w:val="20"/>
        </w:rPr>
        <w:t>relevant</w:t>
      </w:r>
      <w:r w:rsidRPr="00824B83">
        <w:rPr>
          <w:rFonts w:ascii="Arial" w:eastAsia="Times" w:hAnsi="Arial" w:cs="Times New Roman"/>
          <w:sz w:val="21"/>
          <w:szCs w:val="20"/>
        </w:rPr>
        <w:t xml:space="preserve"> period </w:t>
      </w:r>
      <w:r>
        <w:rPr>
          <w:rFonts w:ascii="Arial" w:eastAsia="Times" w:hAnsi="Arial" w:cs="Times New Roman"/>
          <w:sz w:val="21"/>
          <w:szCs w:val="20"/>
        </w:rPr>
        <w:t xml:space="preserve">for </w:t>
      </w:r>
      <w:r w:rsidR="006F5BFA">
        <w:rPr>
          <w:rFonts w:ascii="Arial" w:eastAsia="Times" w:hAnsi="Arial" w:cs="Times New Roman"/>
          <w:sz w:val="21"/>
          <w:szCs w:val="20"/>
        </w:rPr>
        <w:t>duty holders and the reporting periods for different obligations.</w:t>
      </w:r>
    </w:p>
    <w:p w14:paraId="7E449B17" w14:textId="235840AE" w:rsidR="0067124C" w:rsidRDefault="0067124C" w:rsidP="0067124C">
      <w:pPr>
        <w:rPr>
          <w:rFonts w:eastAsia="Times New Roman"/>
          <w:color w:val="000000"/>
        </w:rPr>
      </w:pPr>
    </w:p>
    <w:p w14:paraId="58CA9950" w14:textId="1BB9CE1B" w:rsidR="007F0784" w:rsidRPr="0039143D" w:rsidRDefault="000D064D" w:rsidP="0067124C">
      <w:pPr>
        <w:rPr>
          <w:rFonts w:cstheme="minorHAnsi"/>
          <w:b/>
          <w:bCs/>
        </w:rPr>
      </w:pPr>
      <w:r>
        <w:rPr>
          <w:rFonts w:cstheme="minorHAnsi"/>
          <w:b/>
          <w:bCs/>
          <w:noProof/>
        </w:rPr>
        <w:drawing>
          <wp:inline distT="0" distB="0" distL="0" distR="0" wp14:anchorId="65A99DEB" wp14:editId="4BE15EA6">
            <wp:extent cx="5999524" cy="2533122"/>
            <wp:effectExtent l="0" t="0" r="1270" b="635"/>
            <wp:docPr id="1992970829" name="Picture 19929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29915" cy="2545954"/>
                    </a:xfrm>
                    <a:prstGeom prst="rect">
                      <a:avLst/>
                    </a:prstGeom>
                    <a:noFill/>
                  </pic:spPr>
                </pic:pic>
              </a:graphicData>
            </a:graphic>
          </wp:inline>
        </w:drawing>
      </w:r>
    </w:p>
    <w:p w14:paraId="28FEAB9B" w14:textId="77777777" w:rsidR="0067124C" w:rsidRDefault="0067124C" w:rsidP="0067124C">
      <w:pPr>
        <w:pStyle w:val="Body"/>
      </w:pPr>
      <w:bookmarkStart w:id="5" w:name="_Toc129686721"/>
      <w:bookmarkStart w:id="6" w:name="_Toc184918422"/>
    </w:p>
    <w:p w14:paraId="4D0A2283" w14:textId="09A64AF6" w:rsidR="0067124C" w:rsidRPr="00AE685D" w:rsidRDefault="00C347CB" w:rsidP="0067124C">
      <w:pPr>
        <w:pStyle w:val="Heading2"/>
      </w:pPr>
      <w:r>
        <w:t>Using the</w:t>
      </w:r>
      <w:r w:rsidR="0067124C">
        <w:t xml:space="preserve"> </w:t>
      </w:r>
      <w:r w:rsidR="00247C9E">
        <w:t xml:space="preserve">2026 </w:t>
      </w:r>
      <w:r w:rsidR="0067124C">
        <w:t>progress report template</w:t>
      </w:r>
      <w:bookmarkEnd w:id="5"/>
      <w:bookmarkEnd w:id="6"/>
      <w:r w:rsidR="0067124C">
        <w:t xml:space="preserve"> and guidance </w:t>
      </w:r>
    </w:p>
    <w:p w14:paraId="1C0A330D" w14:textId="77777777" w:rsidR="001E71AD" w:rsidRDefault="0067124C" w:rsidP="00F538C8">
      <w:pPr>
        <w:pStyle w:val="Body"/>
      </w:pPr>
      <w:r w:rsidRPr="00F538C8">
        <w:t xml:space="preserve">You must use the template provided by the Commissioner. </w:t>
      </w:r>
    </w:p>
    <w:p w14:paraId="18DAE731" w14:textId="683BDD8F" w:rsidR="0067124C" w:rsidRPr="00F538C8" w:rsidRDefault="0067124C" w:rsidP="001E71AD">
      <w:pPr>
        <w:pStyle w:val="Body"/>
      </w:pPr>
      <w:r w:rsidRPr="00F538C8">
        <w:t xml:space="preserve">This is a requirement </w:t>
      </w:r>
      <w:r w:rsidR="001E71AD">
        <w:t>of</w:t>
      </w:r>
      <w:r w:rsidR="001E71AD" w:rsidRPr="00F538C8">
        <w:t xml:space="preserve"> </w:t>
      </w:r>
      <w:r w:rsidRPr="00F538C8">
        <w:t>the Gender Equality Regulations 2020</w:t>
      </w:r>
      <w:r w:rsidRPr="00C347CB">
        <w:t xml:space="preserve">. </w:t>
      </w:r>
      <w:commentRangeStart w:id="7"/>
      <w:r w:rsidRPr="00F538C8">
        <w:t xml:space="preserve">You can download the </w:t>
      </w:r>
      <w:r w:rsidR="00247C9E">
        <w:t>2026</w:t>
      </w:r>
      <w:r w:rsidR="00826F63">
        <w:t xml:space="preserve"> </w:t>
      </w:r>
      <w:r w:rsidRPr="00F538C8">
        <w:rPr>
          <w:highlight w:val="lightGray"/>
        </w:rPr>
        <w:t>progress report template</w:t>
      </w:r>
      <w:r w:rsidRPr="00F538C8">
        <w:t xml:space="preserve"> from the right-hand side of this guidance (online).</w:t>
      </w:r>
      <w:commentRangeEnd w:id="7"/>
      <w:r w:rsidRPr="00F538C8">
        <w:commentReference w:id="7"/>
      </w:r>
    </w:p>
    <w:p w14:paraId="20E3EFFC" w14:textId="77777777" w:rsidR="0067124C" w:rsidRPr="00BD265C" w:rsidRDefault="0067124C" w:rsidP="0067124C">
      <w:pPr>
        <w:pStyle w:val="Body"/>
      </w:pPr>
      <w:r w:rsidRPr="00BD265C">
        <w:t>Th</w:t>
      </w:r>
      <w:r>
        <w:t>is guidance</w:t>
      </w:r>
      <w:r w:rsidRPr="00BD265C">
        <w:t xml:space="preserve"> </w:t>
      </w:r>
      <w:r>
        <w:t>was</w:t>
      </w:r>
      <w:r w:rsidRPr="00BD265C">
        <w:t xml:space="preserve"> developed to </w:t>
      </w:r>
      <w:r>
        <w:t>help</w:t>
      </w:r>
      <w:r w:rsidRPr="00BD265C">
        <w:t xml:space="preserve"> </w:t>
      </w:r>
      <w:r>
        <w:t>your organisation</w:t>
      </w:r>
      <w:r w:rsidRPr="00BD265C">
        <w:t xml:space="preserve"> </w:t>
      </w:r>
      <w:r>
        <w:t>meet</w:t>
      </w:r>
      <w:r w:rsidRPr="00BD265C">
        <w:t xml:space="preserve"> </w:t>
      </w:r>
      <w:r>
        <w:t>its</w:t>
      </w:r>
      <w:r w:rsidRPr="00BD265C">
        <w:t xml:space="preserve"> obligation to complete and submit a progress report as required under the </w:t>
      </w:r>
      <w:hyperlink r:id="rId31" w:history="1">
        <w:r w:rsidRPr="003F6E6F">
          <w:rPr>
            <w:rStyle w:val="Hyperlink"/>
            <w:rFonts w:cstheme="minorHAnsi"/>
            <w:i/>
            <w:iCs/>
          </w:rPr>
          <w:t>Gender Equality Ac</w:t>
        </w:r>
        <w:r>
          <w:rPr>
            <w:rStyle w:val="Hyperlink"/>
            <w:rFonts w:cstheme="minorHAnsi"/>
            <w:i/>
            <w:iCs/>
          </w:rPr>
          <w:t>t 2020</w:t>
        </w:r>
      </w:hyperlink>
      <w:r w:rsidRPr="003F6E6F">
        <w:t xml:space="preserve"> </w:t>
      </w:r>
      <w:r>
        <w:t xml:space="preserve">(the </w:t>
      </w:r>
      <w:r w:rsidRPr="00BD265C">
        <w:t>Act</w:t>
      </w:r>
      <w:r>
        <w:t>).</w:t>
      </w:r>
    </w:p>
    <w:p w14:paraId="31B20C5B" w14:textId="1E36E598" w:rsidR="001E71AD" w:rsidRDefault="0067124C" w:rsidP="0067124C">
      <w:pPr>
        <w:pStyle w:val="Body"/>
      </w:pPr>
      <w:r w:rsidRPr="00BD265C">
        <w:t xml:space="preserve">There are </w:t>
      </w:r>
      <w:r w:rsidRPr="005F4D4B">
        <w:rPr>
          <w:b/>
        </w:rPr>
        <w:t>required</w:t>
      </w:r>
      <w:r w:rsidRPr="00BD265C">
        <w:t xml:space="preserve"> and </w:t>
      </w:r>
      <w:r w:rsidRPr="005F4D4B">
        <w:rPr>
          <w:b/>
        </w:rPr>
        <w:t>recommended</w:t>
      </w:r>
      <w:r w:rsidRPr="00BD265C">
        <w:t xml:space="preserve"> items </w:t>
      </w:r>
      <w:r>
        <w:t xml:space="preserve">to include </w:t>
      </w:r>
      <w:r w:rsidRPr="00BD265C">
        <w:t xml:space="preserve">within each section of your </w:t>
      </w:r>
      <w:r>
        <w:t xml:space="preserve">organisation’s </w:t>
      </w:r>
      <w:r w:rsidRPr="00BD265C">
        <w:t>progress report</w:t>
      </w:r>
      <w:r w:rsidRPr="00E7206D">
        <w:t xml:space="preserve">. </w:t>
      </w:r>
      <w:r w:rsidR="001E71AD">
        <w:t>You must include r</w:t>
      </w:r>
      <w:r w:rsidRPr="00E7206D">
        <w:t>equired</w:t>
      </w:r>
      <w:r w:rsidR="001E71AD">
        <w:t xml:space="preserve"> items</w:t>
      </w:r>
      <w:r w:rsidRPr="00E7206D">
        <w:t xml:space="preserve"> in your progress report. </w:t>
      </w:r>
      <w:r w:rsidR="007D6472">
        <w:t>The Commissioner</w:t>
      </w:r>
      <w:r w:rsidR="001E71AD">
        <w:t xml:space="preserve"> strongly encourage</w:t>
      </w:r>
      <w:r w:rsidR="007D6472">
        <w:t>s</w:t>
      </w:r>
      <w:r w:rsidR="001E71AD">
        <w:t xml:space="preserve"> you to include recommended items, but these are optional.</w:t>
      </w:r>
    </w:p>
    <w:p w14:paraId="6BB9E75B" w14:textId="025D435F" w:rsidR="001E71AD" w:rsidRDefault="0067124C" w:rsidP="0067124C">
      <w:pPr>
        <w:pStyle w:val="Body"/>
        <w:rPr>
          <w:rFonts w:cstheme="minorHAnsi"/>
        </w:rPr>
      </w:pPr>
      <w:r>
        <w:rPr>
          <w:rFonts w:cstheme="minorHAnsi"/>
        </w:rPr>
        <w:t>This information help</w:t>
      </w:r>
      <w:r w:rsidR="001E71AD">
        <w:rPr>
          <w:rFonts w:cstheme="minorHAnsi"/>
        </w:rPr>
        <w:t>s us</w:t>
      </w:r>
      <w:r>
        <w:rPr>
          <w:rFonts w:cstheme="minorHAnsi"/>
        </w:rPr>
        <w:t xml:space="preserve"> identify whole-of-sector, industry and other trends across organisations</w:t>
      </w:r>
      <w:r w:rsidR="001E71AD">
        <w:rPr>
          <w:rFonts w:cstheme="minorHAnsi"/>
        </w:rPr>
        <w:t>.</w:t>
      </w:r>
      <w:r>
        <w:rPr>
          <w:rFonts w:cstheme="minorHAnsi"/>
        </w:rPr>
        <w:t xml:space="preserve"> </w:t>
      </w:r>
    </w:p>
    <w:p w14:paraId="688196CD" w14:textId="3C5233F3" w:rsidR="0067124C" w:rsidRPr="009E3008" w:rsidRDefault="001E71AD" w:rsidP="0067124C">
      <w:pPr>
        <w:pStyle w:val="Body"/>
        <w:rPr>
          <w:rFonts w:cs="Arial"/>
        </w:rPr>
      </w:pPr>
      <w:r>
        <w:rPr>
          <w:rFonts w:cstheme="minorHAnsi"/>
        </w:rPr>
        <w:t xml:space="preserve">It </w:t>
      </w:r>
      <w:r w:rsidR="0067124C">
        <w:rPr>
          <w:rFonts w:cstheme="minorHAnsi"/>
        </w:rPr>
        <w:t xml:space="preserve">will also help the Commissioner to support duty holders to </w:t>
      </w:r>
      <w:r w:rsidR="0067124C" w:rsidRPr="009E3008">
        <w:rPr>
          <w:rFonts w:cs="Arial"/>
        </w:rPr>
        <w:t>address systemic barriers to gender equality.</w:t>
      </w:r>
    </w:p>
    <w:p w14:paraId="6F6AB3BB" w14:textId="6673A1BB" w:rsidR="00946DA3" w:rsidRPr="00F538C8" w:rsidRDefault="0067124C" w:rsidP="0067124C">
      <w:pPr>
        <w:pStyle w:val="Body"/>
        <w:rPr>
          <w:rStyle w:val="Strong"/>
          <w:rFonts w:cs="Arial"/>
          <w:b w:val="0"/>
        </w:rPr>
      </w:pPr>
      <w:r w:rsidRPr="00F538C8">
        <w:rPr>
          <w:rStyle w:val="Strong"/>
          <w:rFonts w:cs="Arial"/>
          <w:b w:val="0"/>
        </w:rPr>
        <w:t xml:space="preserve">Note that </w:t>
      </w:r>
      <w:r w:rsidRPr="00F538C8">
        <w:rPr>
          <w:rStyle w:val="Strong"/>
          <w:rFonts w:cs="Arial"/>
        </w:rPr>
        <w:t>supporting documents will</w:t>
      </w:r>
      <w:r w:rsidRPr="00F538C8">
        <w:rPr>
          <w:rStyle w:val="Strong"/>
          <w:rFonts w:cs="Arial"/>
          <w:b w:val="0"/>
        </w:rPr>
        <w:t xml:space="preserve"> </w:t>
      </w:r>
      <w:r w:rsidRPr="00F538C8">
        <w:rPr>
          <w:rStyle w:val="Strong"/>
          <w:rFonts w:cs="Arial"/>
        </w:rPr>
        <w:t>not be accepted</w:t>
      </w:r>
      <w:r w:rsidRPr="00F538C8">
        <w:rPr>
          <w:rStyle w:val="Strong"/>
          <w:rFonts w:cs="Arial"/>
          <w:b w:val="0"/>
        </w:rPr>
        <w:t xml:space="preserve"> in this reporting cycle. </w:t>
      </w:r>
      <w:r w:rsidR="00946DA3" w:rsidRPr="00F538C8">
        <w:rPr>
          <w:rStyle w:val="Strong"/>
          <w:rFonts w:cs="Arial"/>
          <w:b w:val="0"/>
        </w:rPr>
        <w:t>Please ensure y</w:t>
      </w:r>
      <w:r w:rsidRPr="00F538C8">
        <w:rPr>
          <w:rStyle w:val="Strong"/>
          <w:rFonts w:cs="Arial"/>
          <w:b w:val="0"/>
        </w:rPr>
        <w:t xml:space="preserve">ou include all the information in the </w:t>
      </w:r>
      <w:r w:rsidR="00826F63" w:rsidRPr="00F538C8">
        <w:rPr>
          <w:rStyle w:val="Strong"/>
          <w:rFonts w:cs="Arial"/>
          <w:b w:val="0"/>
        </w:rPr>
        <w:t xml:space="preserve">2026 </w:t>
      </w:r>
      <w:r w:rsidRPr="00F538C8">
        <w:rPr>
          <w:rStyle w:val="Strong"/>
          <w:rFonts w:cs="Arial"/>
          <w:b w:val="0"/>
        </w:rPr>
        <w:t xml:space="preserve">progress report template. </w:t>
      </w:r>
    </w:p>
    <w:p w14:paraId="485245A3" w14:textId="2D7C38C0" w:rsidR="00946DA3" w:rsidRDefault="0067124C" w:rsidP="0067124C">
      <w:pPr>
        <w:pStyle w:val="Body"/>
        <w:rPr>
          <w:rFonts w:cstheme="minorBidi"/>
        </w:rPr>
      </w:pPr>
      <w:r>
        <w:rPr>
          <w:rFonts w:cstheme="minorBidi"/>
        </w:rPr>
        <w:t>If you would like to include additional information, you may do this in the ‘</w:t>
      </w:r>
      <w:r w:rsidR="00946DA3">
        <w:rPr>
          <w:rFonts w:cstheme="minorBidi"/>
        </w:rPr>
        <w:t xml:space="preserve">Any </w:t>
      </w:r>
      <w:r>
        <w:rPr>
          <w:rFonts w:cstheme="minorBidi"/>
        </w:rPr>
        <w:t xml:space="preserve">other additions or comments’ </w:t>
      </w:r>
      <w:r w:rsidR="00946DA3">
        <w:rPr>
          <w:rFonts w:cstheme="minorBidi"/>
        </w:rPr>
        <w:t xml:space="preserve">section </w:t>
      </w:r>
      <w:r>
        <w:rPr>
          <w:rFonts w:cstheme="minorBidi"/>
        </w:rPr>
        <w:t xml:space="preserve">at the end of the template. </w:t>
      </w:r>
    </w:p>
    <w:p w14:paraId="4E8331F4" w14:textId="5356E9C0" w:rsidR="0067124C" w:rsidRPr="002C47DB" w:rsidRDefault="0067124C" w:rsidP="0067124C">
      <w:pPr>
        <w:pStyle w:val="Body"/>
      </w:pPr>
      <w:r>
        <w:rPr>
          <w:rFonts w:cstheme="minorBidi"/>
        </w:rPr>
        <w:t>Additional information you may wish to provide in this section includes:</w:t>
      </w:r>
    </w:p>
    <w:p w14:paraId="1A2044AB" w14:textId="7CDA19BB" w:rsidR="0067124C" w:rsidRPr="00D57A58" w:rsidRDefault="00753962" w:rsidP="0067124C">
      <w:pPr>
        <w:pStyle w:val="Bullet1"/>
      </w:pPr>
      <w:r w:rsidRPr="00B66F0F">
        <w:rPr>
          <w:rFonts w:cstheme="minorBidi"/>
        </w:rPr>
        <w:t>infographics</w:t>
      </w:r>
      <w:r>
        <w:t xml:space="preserve"> or </w:t>
      </w:r>
      <w:r w:rsidR="00946DA3">
        <w:t>a</w:t>
      </w:r>
      <w:r w:rsidR="00946DA3" w:rsidRPr="005809DC">
        <w:t xml:space="preserve"> more detailed analysis of your data</w:t>
      </w:r>
    </w:p>
    <w:p w14:paraId="62F72498" w14:textId="3F6DE378" w:rsidR="0067124C" w:rsidRPr="00B66F0F" w:rsidRDefault="00946DA3" w:rsidP="0067124C">
      <w:pPr>
        <w:pStyle w:val="Bullet1"/>
      </w:pPr>
      <w:r>
        <w:rPr>
          <w:rFonts w:cstheme="minorBidi"/>
        </w:rPr>
        <w:t>a</w:t>
      </w:r>
      <w:r w:rsidRPr="00B66F0F">
        <w:rPr>
          <w:rFonts w:cstheme="minorBidi"/>
        </w:rPr>
        <w:t xml:space="preserve">dditional details about </w:t>
      </w:r>
      <w:r w:rsidR="00753962">
        <w:rPr>
          <w:rFonts w:cstheme="minorBidi"/>
        </w:rPr>
        <w:t>GIAs</w:t>
      </w:r>
      <w:r w:rsidR="00753962" w:rsidRPr="00B66F0F">
        <w:rPr>
          <w:rFonts w:cstheme="minorBidi"/>
        </w:rPr>
        <w:t xml:space="preserve"> </w:t>
      </w:r>
      <w:r w:rsidRPr="00B66F0F">
        <w:rPr>
          <w:rFonts w:cstheme="minorBidi"/>
        </w:rPr>
        <w:t>undertaken</w:t>
      </w:r>
    </w:p>
    <w:p w14:paraId="3E43B835" w14:textId="5AC1F4B5" w:rsidR="0067124C" w:rsidRPr="00C4145A" w:rsidRDefault="00946DA3" w:rsidP="0067124C">
      <w:pPr>
        <w:pStyle w:val="Bullet1"/>
      </w:pPr>
      <w:r>
        <w:rPr>
          <w:rFonts w:cstheme="minorBidi"/>
        </w:rPr>
        <w:t>f</w:t>
      </w:r>
      <w:r w:rsidRPr="00B66F0F">
        <w:rPr>
          <w:rFonts w:cstheme="minorBidi"/>
        </w:rPr>
        <w:t>urther summa</w:t>
      </w:r>
      <w:r>
        <w:rPr>
          <w:rFonts w:cstheme="minorBidi"/>
        </w:rPr>
        <w:t>ry information.</w:t>
      </w:r>
    </w:p>
    <w:p w14:paraId="2E68280F" w14:textId="2CCEBD62" w:rsidR="0067124C" w:rsidRDefault="0067124C" w:rsidP="00F538C8">
      <w:pPr>
        <w:pStyle w:val="Bodyafterbullets"/>
      </w:pPr>
      <w:r>
        <w:t xml:space="preserve">Use the checklist </w:t>
      </w:r>
      <w:r w:rsidRPr="00F4775D">
        <w:t xml:space="preserve">at the end of </w:t>
      </w:r>
      <w:r>
        <w:t xml:space="preserve">this guidance to ensure your progress report </w:t>
      </w:r>
      <w:r w:rsidR="00753962">
        <w:t>complies</w:t>
      </w:r>
      <w:r>
        <w:t xml:space="preserve"> </w:t>
      </w:r>
      <w:r>
        <w:rPr>
          <w:rFonts w:cstheme="minorHAnsi"/>
        </w:rPr>
        <w:t xml:space="preserve">with the requirements </w:t>
      </w:r>
      <w:r w:rsidR="00753962">
        <w:rPr>
          <w:rFonts w:cstheme="minorHAnsi"/>
        </w:rPr>
        <w:t xml:space="preserve">of </w:t>
      </w:r>
      <w:r>
        <w:rPr>
          <w:rFonts w:cstheme="minorHAnsi"/>
        </w:rPr>
        <w:t xml:space="preserve">the Act. </w:t>
      </w:r>
    </w:p>
    <w:p w14:paraId="6CD5A568" w14:textId="77777777" w:rsidR="0067124C" w:rsidRDefault="0067124C" w:rsidP="0067124C">
      <w:pPr>
        <w:pStyle w:val="Body"/>
      </w:pPr>
      <w:r w:rsidRPr="00C93105">
        <w:t>The appendices</w:t>
      </w:r>
      <w:r>
        <w:t xml:space="preserve"> to this document</w:t>
      </w:r>
      <w:r w:rsidRPr="00C93105">
        <w:t xml:space="preserve"> include </w:t>
      </w:r>
      <w:hyperlink w:anchor="_Appendix_B" w:history="1">
        <w:r w:rsidRPr="00E24DF0">
          <w:rPr>
            <w:rStyle w:val="Hyperlink"/>
          </w:rPr>
          <w:t>advice for changed or new entities</w:t>
        </w:r>
      </w:hyperlink>
      <w:r>
        <w:t>.</w:t>
      </w:r>
    </w:p>
    <w:p w14:paraId="7AFA9209" w14:textId="40E8C336" w:rsidR="0067124C" w:rsidRDefault="0067124C" w:rsidP="0067124C">
      <w:pPr>
        <w:pStyle w:val="Heading3"/>
      </w:pPr>
      <w:r>
        <w:t xml:space="preserve">Designed version of your progress report </w:t>
      </w:r>
    </w:p>
    <w:p w14:paraId="79C14D11" w14:textId="706BE476" w:rsidR="0067124C" w:rsidRPr="005253DC" w:rsidRDefault="0067124C" w:rsidP="00F538C8">
      <w:pPr>
        <w:pStyle w:val="Body"/>
      </w:pPr>
      <w:r w:rsidRPr="005253DC">
        <w:t xml:space="preserve">You may want to create a designed version of your </w:t>
      </w:r>
      <w:r w:rsidR="00753962">
        <w:t>progress report</w:t>
      </w:r>
      <w:r w:rsidR="00753962" w:rsidRPr="005253DC">
        <w:t xml:space="preserve"> </w:t>
      </w:r>
      <w:r w:rsidRPr="005253DC">
        <w:t>for publishing on your website</w:t>
      </w:r>
      <w:r w:rsidR="00753962">
        <w:t>.</w:t>
      </w:r>
      <w:r w:rsidRPr="005253DC">
        <w:t xml:space="preserve"> </w:t>
      </w:r>
      <w:r>
        <w:t xml:space="preserve">You do not need to submit </w:t>
      </w:r>
      <w:r w:rsidR="00753962">
        <w:t>this</w:t>
      </w:r>
      <w:r>
        <w:t xml:space="preserve"> version to the Commissioner.</w:t>
      </w:r>
    </w:p>
    <w:p w14:paraId="63B4A036" w14:textId="77777777" w:rsidR="00753962" w:rsidRDefault="0067124C" w:rsidP="00753962">
      <w:pPr>
        <w:pStyle w:val="Body"/>
      </w:pPr>
      <w:r w:rsidRPr="005253DC">
        <w:t>Your designed version can include additional information not required by the Commission</w:t>
      </w:r>
      <w:r>
        <w:t>er</w:t>
      </w:r>
      <w:r w:rsidRPr="005253DC">
        <w:t xml:space="preserve">. </w:t>
      </w:r>
    </w:p>
    <w:p w14:paraId="07B6714D" w14:textId="7DB6AA6A" w:rsidR="0067124C" w:rsidRPr="005253DC" w:rsidRDefault="0067124C" w:rsidP="00F538C8">
      <w:pPr>
        <w:pStyle w:val="Body"/>
      </w:pPr>
      <w:r w:rsidRPr="005253DC">
        <w:t>However, you must include all the sections required</w:t>
      </w:r>
      <w:r>
        <w:t xml:space="preserve"> by the Commissioner</w:t>
      </w:r>
      <w:r w:rsidRPr="005253DC">
        <w:t xml:space="preserve"> and you must not alter the wording you submitted </w:t>
      </w:r>
      <w:r w:rsidRPr="0055736A">
        <w:t>to the Commissioner in the required sections</w:t>
      </w:r>
      <w:r w:rsidRPr="005253DC">
        <w:t xml:space="preserve"> (you may fix any spelling or grammatical errors). </w:t>
      </w:r>
    </w:p>
    <w:p w14:paraId="1B46E836" w14:textId="2301F6C9" w:rsidR="0067124C" w:rsidRDefault="0067124C" w:rsidP="0067124C">
      <w:pPr>
        <w:pStyle w:val="Body"/>
      </w:pPr>
      <w:r w:rsidRPr="005253DC">
        <w:t xml:space="preserve">Use the progress report </w:t>
      </w:r>
      <w:r w:rsidRPr="00753962">
        <w:t>checklist</w:t>
      </w:r>
      <w:r w:rsidRPr="005253DC">
        <w:t xml:space="preserve"> </w:t>
      </w:r>
      <w:r w:rsidRPr="00F4775D">
        <w:t xml:space="preserve">at the end of </w:t>
      </w:r>
      <w:r>
        <w:t>this guidance</w:t>
      </w:r>
      <w:r w:rsidRPr="005253DC">
        <w:t xml:space="preserve"> to ensure you have </w:t>
      </w:r>
      <w:r>
        <w:t xml:space="preserve">included </w:t>
      </w:r>
      <w:r w:rsidRPr="005253DC">
        <w:t>all the required sections.</w:t>
      </w:r>
    </w:p>
    <w:p w14:paraId="0A47120C" w14:textId="77777777" w:rsidR="0067124C" w:rsidRDefault="0067124C" w:rsidP="0067124C">
      <w:pPr>
        <w:pStyle w:val="Heading2"/>
      </w:pPr>
      <w:bookmarkStart w:id="8" w:name="_Toc184918427"/>
      <w:bookmarkStart w:id="9" w:name="_Toc129686728"/>
      <w:r>
        <w:t>Cover page</w:t>
      </w:r>
      <w:bookmarkEnd w:id="8"/>
    </w:p>
    <w:p w14:paraId="638C1333" w14:textId="1D65421B" w:rsidR="0067124C" w:rsidRPr="00736CA7" w:rsidRDefault="0067124C" w:rsidP="00F538C8">
      <w:pPr>
        <w:pStyle w:val="Body"/>
      </w:pPr>
      <w:r>
        <w:t>This section includes required and recommended sections</w:t>
      </w:r>
      <w:r w:rsidR="00753962">
        <w:t>.</w:t>
      </w:r>
    </w:p>
    <w:p w14:paraId="09655EC4" w14:textId="6AC505BA" w:rsidR="00753962" w:rsidRPr="00F538C8" w:rsidRDefault="0067124C" w:rsidP="000D4763">
      <w:pPr>
        <w:pStyle w:val="Body"/>
        <w:rPr>
          <w:rFonts w:cs="Arial"/>
        </w:rPr>
      </w:pPr>
      <w:r w:rsidRPr="00F538C8">
        <w:rPr>
          <w:rFonts w:cs="Arial"/>
        </w:rPr>
        <w:t>Complete the cover page to provide important context</w:t>
      </w:r>
      <w:r w:rsidR="00753962" w:rsidRPr="00F538C8">
        <w:rPr>
          <w:rFonts w:cs="Arial"/>
        </w:rPr>
        <w:t>.</w:t>
      </w:r>
      <w:r w:rsidRPr="00F538C8">
        <w:rPr>
          <w:rFonts w:cs="Arial"/>
        </w:rPr>
        <w:t xml:space="preserve"> </w:t>
      </w:r>
      <w:r w:rsidR="00753962" w:rsidRPr="00F538C8">
        <w:rPr>
          <w:rFonts w:cs="Arial"/>
        </w:rPr>
        <w:t>This will assist</w:t>
      </w:r>
      <w:r w:rsidRPr="00F538C8">
        <w:rPr>
          <w:rFonts w:cs="Arial"/>
        </w:rPr>
        <w:t xml:space="preserve"> the Commissioner </w:t>
      </w:r>
      <w:r w:rsidR="00753962" w:rsidRPr="00F538C8">
        <w:rPr>
          <w:rFonts w:cs="Arial"/>
        </w:rPr>
        <w:t xml:space="preserve">to assess </w:t>
      </w:r>
      <w:r w:rsidRPr="00F538C8">
        <w:rPr>
          <w:rFonts w:cs="Arial"/>
        </w:rPr>
        <w:t xml:space="preserve">your </w:t>
      </w:r>
      <w:r w:rsidR="00753962" w:rsidRPr="00F538C8">
        <w:rPr>
          <w:rFonts w:cs="Arial"/>
        </w:rPr>
        <w:t xml:space="preserve">progress report. </w:t>
      </w:r>
    </w:p>
    <w:p w14:paraId="0FC97840" w14:textId="0ED889BF" w:rsidR="0067124C" w:rsidRPr="00F538C8" w:rsidRDefault="0075705B" w:rsidP="000D4763">
      <w:pPr>
        <w:pStyle w:val="Body"/>
        <w:rPr>
          <w:rFonts w:cs="Arial"/>
        </w:rPr>
      </w:pPr>
      <w:r w:rsidRPr="00F538C8">
        <w:rPr>
          <w:rFonts w:cs="Arial"/>
        </w:rPr>
        <w:t>This section</w:t>
      </w:r>
      <w:r w:rsidR="005A75C3" w:rsidRPr="00F538C8">
        <w:rPr>
          <w:rFonts w:cs="Arial"/>
        </w:rPr>
        <w:t xml:space="preserve"> includes:</w:t>
      </w:r>
    </w:p>
    <w:p w14:paraId="3F16F83B" w14:textId="57A4E989" w:rsidR="0067124C" w:rsidRDefault="0067124C" w:rsidP="0067124C">
      <w:pPr>
        <w:pStyle w:val="Bullet1"/>
      </w:pPr>
      <w:r w:rsidRPr="00FB5CD7">
        <w:rPr>
          <w:b/>
          <w:bCs/>
        </w:rPr>
        <w:t>Organisation name</w:t>
      </w:r>
      <w:r>
        <w:rPr>
          <w:b/>
          <w:bCs/>
        </w:rPr>
        <w:t xml:space="preserve"> (required)</w:t>
      </w:r>
      <w:r w:rsidRPr="00F538C8">
        <w:t>:</w:t>
      </w:r>
      <w:r>
        <w:t xml:space="preserve"> insert your organisation’s full legal name (</w:t>
      </w:r>
      <w:r w:rsidR="0075705B">
        <w:t>that is,</w:t>
      </w:r>
      <w:r>
        <w:t xml:space="preserve"> not</w:t>
      </w:r>
      <w:r w:rsidR="00BB7878">
        <w:t xml:space="preserve"> an</w:t>
      </w:r>
      <w:r>
        <w:t xml:space="preserve"> </w:t>
      </w:r>
      <w:r w:rsidR="00BB7878">
        <w:t xml:space="preserve">abbreviation </w:t>
      </w:r>
      <w:r>
        <w:t>or shorthand) and trading name (the name you are most well-known by in your industry or publicly).</w:t>
      </w:r>
    </w:p>
    <w:p w14:paraId="6F3DC620" w14:textId="6C9FFF30" w:rsidR="0067124C" w:rsidRDefault="0067124C" w:rsidP="0067124C">
      <w:pPr>
        <w:pStyle w:val="Bullet1"/>
      </w:pPr>
      <w:r w:rsidRPr="00FB5CD7">
        <w:rPr>
          <w:b/>
          <w:bCs/>
        </w:rPr>
        <w:t>Total number of employees</w:t>
      </w:r>
      <w:r>
        <w:rPr>
          <w:b/>
          <w:bCs/>
        </w:rPr>
        <w:t xml:space="preserve"> (recommended)</w:t>
      </w:r>
      <w:r w:rsidRPr="00F538C8">
        <w:t>:</w:t>
      </w:r>
      <w:r>
        <w:t xml:space="preserve"> i</w:t>
      </w:r>
      <w:r w:rsidRPr="00931E1F">
        <w:t xml:space="preserve">nsert the total number of employees and their full-time equivalent workload (FTE) in your organisation </w:t>
      </w:r>
      <w:r w:rsidR="0075705B">
        <w:t>on</w:t>
      </w:r>
      <w:r w:rsidRPr="00931E1F">
        <w:t xml:space="preserve"> 30 June 2025</w:t>
      </w:r>
      <w:r>
        <w:t>.</w:t>
      </w:r>
    </w:p>
    <w:p w14:paraId="2FE69989" w14:textId="5135986B" w:rsidR="0067124C" w:rsidRPr="000E14B9" w:rsidRDefault="0067124C" w:rsidP="0075705B">
      <w:pPr>
        <w:pStyle w:val="Bullet1"/>
      </w:pPr>
      <w:r w:rsidRPr="000E14B9">
        <w:rPr>
          <w:b/>
          <w:bCs/>
        </w:rPr>
        <w:t>Response</w:t>
      </w:r>
      <w:r w:rsidRPr="00FE550C">
        <w:rPr>
          <w:b/>
          <w:bCs/>
        </w:rPr>
        <w:t xml:space="preserve"> rate to employee experience survey</w:t>
      </w:r>
      <w:r>
        <w:rPr>
          <w:b/>
          <w:bCs/>
        </w:rPr>
        <w:t xml:space="preserve"> (recommended)</w:t>
      </w:r>
      <w:r w:rsidRPr="00F538C8">
        <w:t>:</w:t>
      </w:r>
      <w:r w:rsidRPr="00FE550C">
        <w:rPr>
          <w:b/>
          <w:bCs/>
        </w:rPr>
        <w:t xml:space="preserve"> </w:t>
      </w:r>
      <w:r w:rsidR="0075705B">
        <w:rPr>
          <w:szCs w:val="22"/>
        </w:rPr>
        <w:t>i</w:t>
      </w:r>
      <w:r w:rsidR="0075705B" w:rsidRPr="00FE550C">
        <w:rPr>
          <w:szCs w:val="22"/>
        </w:rPr>
        <w:t xml:space="preserve">nsert </w:t>
      </w:r>
      <w:r w:rsidRPr="00FE550C">
        <w:rPr>
          <w:szCs w:val="22"/>
        </w:rPr>
        <w:t xml:space="preserve">the </w:t>
      </w:r>
      <w:r w:rsidR="00BB7878">
        <w:rPr>
          <w:szCs w:val="22"/>
        </w:rPr>
        <w:t>P</w:t>
      </w:r>
      <w:r w:rsidRPr="00FE550C">
        <w:rPr>
          <w:szCs w:val="22"/>
        </w:rPr>
        <w:t xml:space="preserve">eople </w:t>
      </w:r>
      <w:r w:rsidR="009F02F5">
        <w:rPr>
          <w:szCs w:val="22"/>
        </w:rPr>
        <w:t>m</w:t>
      </w:r>
      <w:r w:rsidR="00BB7878" w:rsidRPr="00FE550C">
        <w:rPr>
          <w:szCs w:val="22"/>
        </w:rPr>
        <w:t xml:space="preserve">atter </w:t>
      </w:r>
      <w:r w:rsidRPr="00FE550C">
        <w:rPr>
          <w:szCs w:val="22"/>
        </w:rPr>
        <w:t xml:space="preserve">survey (or equivalent) response rate for your organisation. The response rate is </w:t>
      </w:r>
      <w:r w:rsidRPr="0075705B">
        <w:t>the</w:t>
      </w:r>
      <w:r w:rsidRPr="00FE550C">
        <w:rPr>
          <w:szCs w:val="22"/>
        </w:rPr>
        <w:t xml:space="preserve"> percentage of your total workforce who completed the survey. </w:t>
      </w:r>
    </w:p>
    <w:p w14:paraId="3C9CE36D" w14:textId="77777777" w:rsidR="0067124C" w:rsidRPr="00FE550C" w:rsidRDefault="0067124C" w:rsidP="000D4763">
      <w:pPr>
        <w:pStyle w:val="Bullet1"/>
      </w:pPr>
      <w:r w:rsidRPr="000E14B9">
        <w:rPr>
          <w:szCs w:val="22"/>
        </w:rPr>
        <w:t>The Victorian Public Sector Commission (or alternative survey provider) should supply this with your survey results. This must be the survey that you used for your 2025 workplace gender audit.</w:t>
      </w:r>
    </w:p>
    <w:p w14:paraId="69CDB173" w14:textId="797BD56D" w:rsidR="0067124C" w:rsidRDefault="0067124C" w:rsidP="0067124C">
      <w:pPr>
        <w:pStyle w:val="Bullet1"/>
      </w:pPr>
      <w:r w:rsidRPr="00572E26">
        <w:rPr>
          <w:b/>
          <w:bCs/>
        </w:rPr>
        <w:t>Contextual information</w:t>
      </w:r>
      <w:r>
        <w:rPr>
          <w:b/>
          <w:bCs/>
        </w:rPr>
        <w:t xml:space="preserve"> (recommended)</w:t>
      </w:r>
      <w:r w:rsidRPr="00F538C8">
        <w:t>:</w:t>
      </w:r>
      <w:r w:rsidRPr="00572E26">
        <w:rPr>
          <w:b/>
          <w:bCs/>
        </w:rPr>
        <w:t xml:space="preserve"> </w:t>
      </w:r>
      <w:r>
        <w:t>d</w:t>
      </w:r>
      <w:r w:rsidRPr="005A56F4">
        <w:t>escribe an</w:t>
      </w:r>
      <w:r w:rsidRPr="00FF749D">
        <w:t xml:space="preserve">ything </w:t>
      </w:r>
      <w:r w:rsidR="0075705B">
        <w:t>that affected</w:t>
      </w:r>
      <w:r w:rsidR="0075705B" w:rsidRPr="00FF749D">
        <w:t xml:space="preserve"> </w:t>
      </w:r>
      <w:r w:rsidRPr="00FF749D">
        <w:t xml:space="preserve">your progress </w:t>
      </w:r>
      <w:r>
        <w:t>towards</w:t>
      </w:r>
      <w:r w:rsidRPr="00FF749D">
        <w:t xml:space="preserve"> gender equality</w:t>
      </w:r>
      <w:r>
        <w:t xml:space="preserve"> and</w:t>
      </w:r>
      <w:r w:rsidRPr="004414FA">
        <w:t xml:space="preserve"> your ability to make reasonable and material progress </w:t>
      </w:r>
      <w:r>
        <w:t>on</w:t>
      </w:r>
      <w:r w:rsidRPr="004414FA">
        <w:t xml:space="preserve"> </w:t>
      </w:r>
      <w:r>
        <w:t>the workplace gender equality indicators in the Act</w:t>
      </w:r>
      <w:r w:rsidRPr="004414FA">
        <w:t>. Factors can include structural changes to your organisation, responding to natural disasters in your region and economic downturn.</w:t>
      </w:r>
      <w:r>
        <w:t xml:space="preserve"> </w:t>
      </w:r>
    </w:p>
    <w:p w14:paraId="131D755A" w14:textId="445794A0" w:rsidR="0067124C" w:rsidRPr="00061F97" w:rsidRDefault="0067124C" w:rsidP="000D4763">
      <w:pPr>
        <w:pStyle w:val="Bullet2"/>
      </w:pPr>
      <w:r w:rsidRPr="00572E26">
        <w:t xml:space="preserve">You may wish to discuss the factors in section 16(2) of the Act. These are the </w:t>
      </w:r>
      <w:r w:rsidRPr="00061F97">
        <w:t xml:space="preserve">factors that </w:t>
      </w:r>
      <w:r>
        <w:t xml:space="preserve">the Commissioner </w:t>
      </w:r>
      <w:r w:rsidR="00BB7878">
        <w:t>considers</w:t>
      </w:r>
      <w:r w:rsidRPr="00061F97">
        <w:t xml:space="preserve"> when determining whether a duty holder has made reasonable and material progress. </w:t>
      </w:r>
      <w:r w:rsidR="00451FFA">
        <w:t>T</w:t>
      </w:r>
      <w:r w:rsidR="005A72E9">
        <w:t>he ‘</w:t>
      </w:r>
      <w:r w:rsidR="00B51870">
        <w:t xml:space="preserve">Factors </w:t>
      </w:r>
      <w:r w:rsidR="001B6FAB">
        <w:t>affecting progress</w:t>
      </w:r>
      <w:r w:rsidR="00451FFA">
        <w:t>’ webpage has</w:t>
      </w:r>
      <w:r w:rsidRPr="00572E26">
        <w:t xml:space="preserve"> further information. You will also have an opportunity to discuss these in the ‘workplace gender equality indicators’ section of your progress report.</w:t>
      </w:r>
      <w:r>
        <w:t xml:space="preserve"> If applicable, you may copy and paste some or </w:t>
      </w:r>
      <w:proofErr w:type="gramStart"/>
      <w:r>
        <w:t>all of</w:t>
      </w:r>
      <w:proofErr w:type="gramEnd"/>
      <w:r>
        <w:t xml:space="preserve"> the same information in both sections of the progress report.</w:t>
      </w:r>
    </w:p>
    <w:p w14:paraId="6C2BB8BD" w14:textId="2C394CE9" w:rsidR="0067124C" w:rsidRDefault="0067124C" w:rsidP="0067124C">
      <w:pPr>
        <w:pStyle w:val="Bullet1"/>
      </w:pPr>
      <w:r w:rsidRPr="00FB5CD7">
        <w:rPr>
          <w:b/>
          <w:bCs/>
        </w:rPr>
        <w:t>Location</w:t>
      </w:r>
      <w:r>
        <w:rPr>
          <w:b/>
          <w:bCs/>
        </w:rPr>
        <w:t xml:space="preserve"> (recommended)</w:t>
      </w:r>
      <w:r w:rsidRPr="00F538C8">
        <w:t>:</w:t>
      </w:r>
      <w:r>
        <w:t xml:space="preserve"> insert either </w:t>
      </w:r>
      <w:r w:rsidRPr="00B14711">
        <w:t xml:space="preserve">metropolitan, regional or rural. Please use your organisation’s primary location or your central office. If you </w:t>
      </w:r>
      <w:r>
        <w:t xml:space="preserve">insert </w:t>
      </w:r>
      <w:r w:rsidRPr="00B14711">
        <w:t>‘other’, please explain.</w:t>
      </w:r>
    </w:p>
    <w:p w14:paraId="336BB5EA" w14:textId="77777777" w:rsidR="00C2734D" w:rsidRDefault="004C2DCD" w:rsidP="0067124C">
      <w:pPr>
        <w:pStyle w:val="Bullet1"/>
      </w:pPr>
      <w:r>
        <w:rPr>
          <w:b/>
          <w:bCs/>
        </w:rPr>
        <w:t>A</w:t>
      </w:r>
      <w:r w:rsidR="00E21753">
        <w:rPr>
          <w:b/>
          <w:bCs/>
        </w:rPr>
        <w:t>ttestation</w:t>
      </w:r>
      <w:r>
        <w:rPr>
          <w:b/>
          <w:bCs/>
        </w:rPr>
        <w:t xml:space="preserve"> by </w:t>
      </w:r>
      <w:r w:rsidR="00A25CDB">
        <w:rPr>
          <w:b/>
          <w:bCs/>
        </w:rPr>
        <w:t>head of organisation</w:t>
      </w:r>
      <w:r w:rsidR="0067124C">
        <w:rPr>
          <w:b/>
          <w:bCs/>
        </w:rPr>
        <w:t xml:space="preserve"> (required)</w:t>
      </w:r>
      <w:r w:rsidR="0067124C">
        <w:rPr>
          <w:b/>
        </w:rPr>
        <w:t xml:space="preserve">: </w:t>
      </w:r>
      <w:r w:rsidR="009C4254" w:rsidRPr="00055DB8">
        <w:rPr>
          <w:bCs/>
        </w:rPr>
        <w:t xml:space="preserve">your </w:t>
      </w:r>
      <w:r w:rsidR="00055DB8" w:rsidRPr="00055DB8">
        <w:rPr>
          <w:bCs/>
        </w:rPr>
        <w:t>head of organisation (CEO or equivalent) should</w:t>
      </w:r>
      <w:r w:rsidR="00055DB8">
        <w:rPr>
          <w:b/>
        </w:rPr>
        <w:t xml:space="preserve"> </w:t>
      </w:r>
      <w:r w:rsidR="0067124C">
        <w:t>complete</w:t>
      </w:r>
      <w:r w:rsidR="0067124C" w:rsidRPr="00FF749D">
        <w:t xml:space="preserve"> this section to</w:t>
      </w:r>
      <w:r w:rsidR="00C2734D">
        <w:t>:</w:t>
      </w:r>
    </w:p>
    <w:p w14:paraId="543C76D0" w14:textId="2CF10866" w:rsidR="00C2734D" w:rsidRDefault="0067124C" w:rsidP="00C2734D">
      <w:pPr>
        <w:pStyle w:val="Bullet2"/>
      </w:pPr>
      <w:r>
        <w:t>show</w:t>
      </w:r>
      <w:r w:rsidRPr="00FF749D">
        <w:t xml:space="preserve"> </w:t>
      </w:r>
      <w:r w:rsidR="00055DB8">
        <w:t>they have</w:t>
      </w:r>
      <w:r w:rsidRPr="00FF749D">
        <w:t xml:space="preserve"> </w:t>
      </w:r>
      <w:r>
        <w:t xml:space="preserve">approved </w:t>
      </w:r>
      <w:r w:rsidRPr="00FF749D">
        <w:t xml:space="preserve">your </w:t>
      </w:r>
      <w:r>
        <w:t>progress report</w:t>
      </w:r>
      <w:r w:rsidR="007F6E03">
        <w:t>,</w:t>
      </w:r>
      <w:r w:rsidR="00810D15">
        <w:t xml:space="preserve"> and </w:t>
      </w:r>
    </w:p>
    <w:p w14:paraId="77458B64" w14:textId="42141959" w:rsidR="00C2734D" w:rsidRDefault="00810D15" w:rsidP="00C2734D">
      <w:pPr>
        <w:pStyle w:val="Bullet2"/>
      </w:pPr>
      <w:r>
        <w:t xml:space="preserve">confirm that </w:t>
      </w:r>
      <w:r w:rsidR="006A6B72">
        <w:t>your organisation has completed all relevant gender impact assessments</w:t>
      </w:r>
      <w:r w:rsidR="0067124C">
        <w:t>.</w:t>
      </w:r>
    </w:p>
    <w:p w14:paraId="645B0998" w14:textId="76E982A2" w:rsidR="0067124C" w:rsidRPr="0093373F" w:rsidRDefault="0067124C" w:rsidP="00C2734D">
      <w:pPr>
        <w:pStyle w:val="Bullet2"/>
        <w:numPr>
          <w:ilvl w:val="0"/>
          <w:numId w:val="0"/>
        </w:numPr>
        <w:ind w:left="284"/>
      </w:pPr>
      <w:r w:rsidRPr="00FF749D">
        <w:t xml:space="preserve">Your </w:t>
      </w:r>
      <w:r>
        <w:t>CEO</w:t>
      </w:r>
      <w:r w:rsidRPr="00FF749D">
        <w:t xml:space="preserve"> can also use </w:t>
      </w:r>
      <w:r>
        <w:t xml:space="preserve">this space to provide </w:t>
      </w:r>
      <w:r w:rsidRPr="00FF749D">
        <w:t>further comments for the Commission</w:t>
      </w:r>
      <w:r>
        <w:t>er</w:t>
      </w:r>
      <w:r w:rsidRPr="00FF749D">
        <w:t xml:space="preserve"> to consider when assessing your progress report. </w:t>
      </w:r>
      <w:r>
        <w:t xml:space="preserve">Your CEO will be your </w:t>
      </w:r>
      <w:proofErr w:type="gramStart"/>
      <w:r>
        <w:t>Secretary</w:t>
      </w:r>
      <w:proofErr w:type="gramEnd"/>
      <w:r>
        <w:t xml:space="preserve"> (for Victorian </w:t>
      </w:r>
      <w:r w:rsidR="00FE56DE">
        <w:t>government departments</w:t>
      </w:r>
      <w:r>
        <w:t>), Vice-Chancellor (for universities) or equivalent.</w:t>
      </w:r>
    </w:p>
    <w:p w14:paraId="138BEB75" w14:textId="77777777" w:rsidR="0067124C" w:rsidRPr="00FE56DE" w:rsidRDefault="0067124C" w:rsidP="00F538C8">
      <w:pPr>
        <w:pStyle w:val="Body"/>
      </w:pPr>
      <w:r>
        <w:br w:type="page"/>
      </w:r>
    </w:p>
    <w:p w14:paraId="79D495CE" w14:textId="77777777" w:rsidR="0067124C" w:rsidRPr="00407715" w:rsidRDefault="0067124C" w:rsidP="0067124C">
      <w:pPr>
        <w:pStyle w:val="Heading1"/>
      </w:pPr>
      <w:r>
        <w:t>Part 1: Reporting on g</w:t>
      </w:r>
      <w:r w:rsidRPr="00407715">
        <w:t xml:space="preserve">ender </w:t>
      </w:r>
      <w:r>
        <w:t>i</w:t>
      </w:r>
      <w:r w:rsidRPr="00407715">
        <w:t xml:space="preserve">mpact </w:t>
      </w:r>
      <w:r>
        <w:t>a</w:t>
      </w:r>
      <w:r w:rsidRPr="00407715">
        <w:t>ssessments</w:t>
      </w:r>
      <w:bookmarkEnd w:id="9"/>
      <w:r>
        <w:t xml:space="preserve"> (GIA)</w:t>
      </w:r>
    </w:p>
    <w:p w14:paraId="6B8409C7" w14:textId="44597890" w:rsidR="0067124C" w:rsidRPr="008F5397" w:rsidRDefault="0067124C" w:rsidP="00F538C8">
      <w:pPr>
        <w:pStyle w:val="Body"/>
        <w:rPr>
          <w:bCs/>
        </w:rPr>
      </w:pPr>
      <w:r w:rsidRPr="00F538C8">
        <w:rPr>
          <w:b/>
          <w:bCs/>
        </w:rPr>
        <w:t>This part includes required and recommended action items</w:t>
      </w:r>
      <w:r w:rsidR="00FE56DE">
        <w:rPr>
          <w:b/>
          <w:bCs/>
        </w:rPr>
        <w:t>.</w:t>
      </w:r>
    </w:p>
    <w:p w14:paraId="43780091" w14:textId="77777777" w:rsidR="0067124C" w:rsidRPr="00A31579" w:rsidRDefault="0067124C" w:rsidP="00F538C8">
      <w:pPr>
        <w:pStyle w:val="Body"/>
      </w:pPr>
      <w:r w:rsidRPr="00A31579">
        <w:t xml:space="preserve">You are required to report on gender impact assessments </w:t>
      </w:r>
      <w:r>
        <w:t xml:space="preserve">(GIAs) that </w:t>
      </w:r>
      <w:r w:rsidRPr="00A31579">
        <w:t xml:space="preserve">you undertook during the reporting period. </w:t>
      </w:r>
    </w:p>
    <w:p w14:paraId="6DBA9C74" w14:textId="77777777" w:rsidR="0067124C" w:rsidRPr="00A31579" w:rsidRDefault="0067124C" w:rsidP="00F538C8">
      <w:pPr>
        <w:pStyle w:val="Body"/>
      </w:pPr>
      <w:r w:rsidRPr="00A31579" w:rsidDel="004F3C91">
        <w:t xml:space="preserve">The Act requires organisations to conduct a GIA when </w:t>
      </w:r>
      <w:r w:rsidRPr="00FE56DE" w:rsidDel="004F3C91">
        <w:t>developing</w:t>
      </w:r>
      <w:r w:rsidRPr="00A31579" w:rsidDel="004F3C91">
        <w:t xml:space="preserve"> or reviewing any </w:t>
      </w:r>
      <w:r>
        <w:t>policy, program or service</w:t>
      </w:r>
      <w:r w:rsidRPr="00A31579" w:rsidDel="004F3C91">
        <w:t xml:space="preserve"> </w:t>
      </w:r>
      <w:r>
        <w:t>with</w:t>
      </w:r>
      <w:r w:rsidRPr="00A31579" w:rsidDel="004F3C91">
        <w:t xml:space="preserve"> a </w:t>
      </w:r>
      <w:r w:rsidRPr="00A31579" w:rsidDel="004F3C91">
        <w:rPr>
          <w:b/>
        </w:rPr>
        <w:t>direct and significant impact on the public</w:t>
      </w:r>
      <w:r w:rsidRPr="00A31579" w:rsidDel="004F3C91">
        <w:t>.</w:t>
      </w:r>
      <w:r w:rsidRPr="00A31579">
        <w:t xml:space="preserve"> As part of your progress report, you must identify each </w:t>
      </w:r>
      <w:r>
        <w:t>policy, program or service</w:t>
      </w:r>
      <w:r w:rsidRPr="00A31579">
        <w:t xml:space="preserve"> that was subject to a GIA during the </w:t>
      </w:r>
      <w:hyperlink w:anchor="_Strategies_and_measures" w:history="1">
        <w:r w:rsidRPr="00A31579">
          <w:rPr>
            <w:rStyle w:val="Hyperlink"/>
            <w:color w:val="auto"/>
          </w:rPr>
          <w:t>relevant period</w:t>
        </w:r>
      </w:hyperlink>
      <w:r w:rsidRPr="00A31579">
        <w:t xml:space="preserve">. </w:t>
      </w:r>
    </w:p>
    <w:p w14:paraId="0C4E5ABE" w14:textId="77777777" w:rsidR="00FE56DE" w:rsidRDefault="0067124C" w:rsidP="00FE56DE">
      <w:pPr>
        <w:pStyle w:val="Body"/>
      </w:pPr>
      <w:r w:rsidRPr="000D4763">
        <w:rPr>
          <w:rStyle w:val="Strong"/>
        </w:rPr>
        <w:t>Do not report on any GIAs conducted on internal workforce policies or programs that did not have a direct and significant impact on the public</w:t>
      </w:r>
      <w:r>
        <w:t xml:space="preserve"> </w:t>
      </w:r>
      <w:r w:rsidRPr="00A31579">
        <w:t xml:space="preserve">(for example, a flexible work policy or staff training program). </w:t>
      </w:r>
    </w:p>
    <w:p w14:paraId="2B110FEB" w14:textId="6AA9B9EB" w:rsidR="0067124C" w:rsidRDefault="0067124C" w:rsidP="00F538C8">
      <w:pPr>
        <w:pStyle w:val="Body"/>
        <w:rPr>
          <w:rFonts w:cstheme="minorHAnsi"/>
        </w:rPr>
      </w:pPr>
      <w:r w:rsidRPr="00A31579">
        <w:rPr>
          <w:rFonts w:cstheme="minorHAnsi"/>
        </w:rPr>
        <w:t xml:space="preserve">The </w:t>
      </w:r>
      <w:r w:rsidRPr="00F538C8">
        <w:rPr>
          <w:rFonts w:cstheme="minorHAnsi"/>
          <w:i/>
          <w:iCs/>
        </w:rPr>
        <w:t>Gender Equality Act 2020</w:t>
      </w:r>
      <w:r w:rsidRPr="00A31579">
        <w:rPr>
          <w:rFonts w:cstheme="minorHAnsi"/>
        </w:rPr>
        <w:t xml:space="preserve"> only requires organisations to undertake a GIA on policies that are new or up for review </w:t>
      </w:r>
      <w:r>
        <w:rPr>
          <w:rFonts w:cstheme="minorHAnsi"/>
        </w:rPr>
        <w:t xml:space="preserve">during the reporting period </w:t>
      </w:r>
      <w:r w:rsidRPr="00A31579">
        <w:rPr>
          <w:rFonts w:cstheme="minorHAnsi"/>
        </w:rPr>
        <w:t>and that have a direct and significant impact on the public.</w:t>
      </w:r>
    </w:p>
    <w:p w14:paraId="489C74ED" w14:textId="63DD333B" w:rsidR="0067124C" w:rsidRDefault="0067124C" w:rsidP="00F538C8">
      <w:pPr>
        <w:pStyle w:val="Body"/>
        <w:rPr>
          <w:rFonts w:eastAsia="Times New Roman"/>
        </w:rPr>
      </w:pPr>
      <w:r>
        <w:rPr>
          <w:rFonts w:eastAsia="Times New Roman"/>
        </w:rPr>
        <w:t>O</w:t>
      </w:r>
      <w:r w:rsidRPr="003F674E">
        <w:rPr>
          <w:rFonts w:eastAsia="Times New Roman"/>
        </w:rPr>
        <w:t xml:space="preserve">nly report on GIAs in this progress report </w:t>
      </w:r>
      <w:r w:rsidR="00A93B4F">
        <w:rPr>
          <w:rFonts w:eastAsia="Times New Roman"/>
        </w:rPr>
        <w:t>if</w:t>
      </w:r>
      <w:r>
        <w:rPr>
          <w:rFonts w:eastAsia="Times New Roman"/>
        </w:rPr>
        <w:t>:</w:t>
      </w:r>
    </w:p>
    <w:p w14:paraId="353E77AC" w14:textId="07C44782" w:rsidR="0067124C" w:rsidRPr="00F538C8" w:rsidRDefault="0067124C" w:rsidP="00FE56DE">
      <w:pPr>
        <w:pStyle w:val="Bullet1"/>
      </w:pPr>
      <w:r w:rsidRPr="00F538C8">
        <w:t xml:space="preserve">it is clear how the policy, program or service will be, or has been, changed </w:t>
      </w:r>
      <w:proofErr w:type="gramStart"/>
      <w:r w:rsidRPr="00F538C8">
        <w:t>as a result of</w:t>
      </w:r>
      <w:proofErr w:type="gramEnd"/>
      <w:r w:rsidRPr="00F538C8">
        <w:t xml:space="preserve"> the GIA, </w:t>
      </w:r>
      <w:r w:rsidR="00A93B4F" w:rsidRPr="00A93B4F">
        <w:rPr>
          <w:b/>
          <w:bCs/>
        </w:rPr>
        <w:t>or</w:t>
      </w:r>
    </w:p>
    <w:p w14:paraId="3881D794" w14:textId="38035BF0" w:rsidR="0067124C" w:rsidRPr="00F538C8" w:rsidRDefault="0067124C" w:rsidP="00FE56DE">
      <w:pPr>
        <w:pStyle w:val="Bullet1"/>
      </w:pPr>
      <w:r w:rsidRPr="00F538C8">
        <w:t xml:space="preserve">no change will be made (and this is clear). </w:t>
      </w:r>
    </w:p>
    <w:p w14:paraId="4AE25982" w14:textId="77777777" w:rsidR="0067124C" w:rsidRDefault="0067124C" w:rsidP="00F538C8">
      <w:pPr>
        <w:pStyle w:val="Bodyafterbullets"/>
      </w:pPr>
      <w:r>
        <w:t xml:space="preserve">Clear changes, or </w:t>
      </w:r>
      <w:r w:rsidRPr="00FE56DE">
        <w:t>lack</w:t>
      </w:r>
      <w:r>
        <w:t xml:space="preserve"> of changes,</w:t>
      </w:r>
      <w:r w:rsidRPr="003F674E">
        <w:t xml:space="preserve"> due to </w:t>
      </w:r>
      <w:r>
        <w:t>a GIA can include:</w:t>
      </w:r>
    </w:p>
    <w:p w14:paraId="6890B215" w14:textId="3DCB258F" w:rsidR="0067124C" w:rsidRDefault="0067124C" w:rsidP="0067124C">
      <w:pPr>
        <w:pStyle w:val="Bullet1"/>
        <w:rPr>
          <w:rFonts w:eastAsia="Times New Roman"/>
        </w:rPr>
      </w:pPr>
      <w:r>
        <w:rPr>
          <w:rFonts w:eastAsia="Times New Roman"/>
        </w:rPr>
        <w:t xml:space="preserve">all </w:t>
      </w:r>
      <w:r w:rsidRPr="003F674E">
        <w:rPr>
          <w:rFonts w:eastAsia="Times New Roman"/>
        </w:rPr>
        <w:t xml:space="preserve">GIA recommendations </w:t>
      </w:r>
      <w:r>
        <w:rPr>
          <w:rFonts w:eastAsia="Times New Roman"/>
        </w:rPr>
        <w:t>were</w:t>
      </w:r>
      <w:r w:rsidRPr="003F674E">
        <w:rPr>
          <w:rFonts w:eastAsia="Times New Roman"/>
        </w:rPr>
        <w:t xml:space="preserve"> approved</w:t>
      </w:r>
      <w:r>
        <w:rPr>
          <w:rFonts w:eastAsia="Times New Roman"/>
        </w:rPr>
        <w:t xml:space="preserve"> for action </w:t>
      </w:r>
      <w:r w:rsidRPr="003F674E">
        <w:rPr>
          <w:rFonts w:eastAsia="Times New Roman"/>
        </w:rPr>
        <w:t>by the person responsible for making these decisions</w:t>
      </w:r>
    </w:p>
    <w:p w14:paraId="120CB203" w14:textId="356CBD5C" w:rsidR="0067124C" w:rsidRDefault="0067124C" w:rsidP="0067124C">
      <w:pPr>
        <w:pStyle w:val="Bullet1"/>
        <w:rPr>
          <w:rFonts w:eastAsia="Times New Roman"/>
        </w:rPr>
      </w:pPr>
      <w:r>
        <w:rPr>
          <w:rFonts w:eastAsia="Times New Roman"/>
        </w:rPr>
        <w:t>some GIA recommendations were</w:t>
      </w:r>
      <w:r w:rsidRPr="003F674E">
        <w:rPr>
          <w:rFonts w:eastAsia="Times New Roman"/>
        </w:rPr>
        <w:t xml:space="preserve"> approved</w:t>
      </w:r>
      <w:r>
        <w:rPr>
          <w:rFonts w:eastAsia="Times New Roman"/>
        </w:rPr>
        <w:t xml:space="preserve"> for action </w:t>
      </w:r>
      <w:r w:rsidRPr="003F674E">
        <w:rPr>
          <w:rFonts w:eastAsia="Times New Roman"/>
        </w:rPr>
        <w:t>by the person responsible for making these decisions</w:t>
      </w:r>
    </w:p>
    <w:p w14:paraId="0C15E387" w14:textId="77777777" w:rsidR="0067124C" w:rsidRDefault="0067124C" w:rsidP="0067124C">
      <w:pPr>
        <w:pStyle w:val="Bullet1"/>
        <w:rPr>
          <w:rFonts w:eastAsia="Times New Roman"/>
        </w:rPr>
      </w:pPr>
      <w:r>
        <w:rPr>
          <w:rFonts w:eastAsia="Times New Roman"/>
        </w:rPr>
        <w:t>all GIA recommendations were</w:t>
      </w:r>
      <w:r w:rsidRPr="003F674E">
        <w:rPr>
          <w:rFonts w:eastAsia="Times New Roman"/>
        </w:rPr>
        <w:t xml:space="preserve"> rejected by the person responsible for making these decisions. </w:t>
      </w:r>
    </w:p>
    <w:p w14:paraId="5AB6020F" w14:textId="4E61514E" w:rsidR="0067124C" w:rsidRPr="003F674E" w:rsidRDefault="0067124C" w:rsidP="00F538C8">
      <w:pPr>
        <w:pStyle w:val="Bodyafterbullets"/>
      </w:pPr>
      <w:r w:rsidRPr="003F674E">
        <w:t xml:space="preserve">If decisions </w:t>
      </w:r>
      <w:r w:rsidR="00FE56DE">
        <w:t>have not</w:t>
      </w:r>
      <w:r w:rsidR="00FE56DE" w:rsidRPr="003F674E">
        <w:t xml:space="preserve"> </w:t>
      </w:r>
      <w:r w:rsidRPr="003F674E">
        <w:t>been made</w:t>
      </w:r>
      <w:r>
        <w:t xml:space="preserve"> yet, do</w:t>
      </w:r>
      <w:r w:rsidRPr="003F674E">
        <w:t xml:space="preserve"> </w:t>
      </w:r>
      <w:r>
        <w:t xml:space="preserve">not </w:t>
      </w:r>
      <w:r w:rsidRPr="003F674E">
        <w:t>report on the GIA in th</w:t>
      </w:r>
      <w:r>
        <w:t xml:space="preserve">is reporting period. Instead, report on them in the next </w:t>
      </w:r>
      <w:r w:rsidRPr="003F674E">
        <w:t>reporting period</w:t>
      </w:r>
      <w:r>
        <w:t xml:space="preserve">, once </w:t>
      </w:r>
      <w:r w:rsidRPr="003F674E">
        <w:t>the</w:t>
      </w:r>
      <w:r>
        <w:t xml:space="preserve"> decisions have been</w:t>
      </w:r>
      <w:r w:rsidRPr="003F674E" w:rsidDel="009F176B">
        <w:t xml:space="preserve"> </w:t>
      </w:r>
      <w:r w:rsidRPr="003F674E">
        <w:t>made.</w:t>
      </w:r>
    </w:p>
    <w:p w14:paraId="1379D9BC" w14:textId="0678FD79" w:rsidR="0067124C" w:rsidRPr="00F538C8" w:rsidRDefault="00A93B4F" w:rsidP="00F538C8">
      <w:pPr>
        <w:pStyle w:val="Body"/>
      </w:pPr>
      <w:r>
        <w:t>The table below sets out some example scenarios.</w:t>
      </w:r>
    </w:p>
    <w:tbl>
      <w:tblPr>
        <w:tblStyle w:val="TableGrid"/>
        <w:tblW w:w="0" w:type="auto"/>
        <w:tblLook w:val="04A0" w:firstRow="1" w:lastRow="0" w:firstColumn="1" w:lastColumn="0" w:noHBand="0" w:noVBand="1"/>
      </w:tblPr>
      <w:tblGrid>
        <w:gridCol w:w="5272"/>
        <w:gridCol w:w="3654"/>
      </w:tblGrid>
      <w:tr w:rsidR="0067124C" w14:paraId="1E411D7C" w14:textId="77777777" w:rsidTr="00F538C8">
        <w:trPr>
          <w:tblHeader/>
        </w:trPr>
        <w:tc>
          <w:tcPr>
            <w:tcW w:w="5272" w:type="dxa"/>
            <w:shd w:val="clear" w:color="auto" w:fill="5C308D"/>
          </w:tcPr>
          <w:p w14:paraId="44A2C46F" w14:textId="77777777" w:rsidR="0067124C" w:rsidRPr="00F538C8" w:rsidRDefault="0067124C" w:rsidP="00F538C8">
            <w:pPr>
              <w:pStyle w:val="Body"/>
              <w:rPr>
                <w:b/>
                <w:bCs/>
                <w:color w:val="FFFFFF" w:themeColor="background1"/>
              </w:rPr>
            </w:pPr>
            <w:r w:rsidRPr="00F538C8">
              <w:rPr>
                <w:b/>
                <w:bCs/>
                <w:color w:val="FFFFFF" w:themeColor="background1"/>
              </w:rPr>
              <w:t>Scenario</w:t>
            </w:r>
          </w:p>
        </w:tc>
        <w:tc>
          <w:tcPr>
            <w:tcW w:w="3654" w:type="dxa"/>
            <w:shd w:val="clear" w:color="auto" w:fill="5C308D"/>
          </w:tcPr>
          <w:p w14:paraId="3356A693" w14:textId="77777777" w:rsidR="0067124C" w:rsidRPr="00F538C8" w:rsidRDefault="0067124C" w:rsidP="00F538C8">
            <w:pPr>
              <w:pStyle w:val="Body"/>
              <w:rPr>
                <w:b/>
                <w:bCs/>
                <w:color w:val="FFFFFF" w:themeColor="background1"/>
              </w:rPr>
            </w:pPr>
            <w:r w:rsidRPr="00F538C8">
              <w:rPr>
                <w:b/>
                <w:bCs/>
                <w:color w:val="FFFFFF" w:themeColor="background1"/>
              </w:rPr>
              <w:t>Action</w:t>
            </w:r>
          </w:p>
        </w:tc>
      </w:tr>
      <w:tr w:rsidR="0067124C" w14:paraId="025A18B8" w14:textId="77777777" w:rsidTr="007F6E03">
        <w:tc>
          <w:tcPr>
            <w:tcW w:w="5272" w:type="dxa"/>
          </w:tcPr>
          <w:p w14:paraId="4314EDD8" w14:textId="77777777" w:rsidR="0067124C" w:rsidRDefault="0067124C" w:rsidP="00F538C8">
            <w:pPr>
              <w:pStyle w:val="Body"/>
            </w:pPr>
            <w:r w:rsidRPr="003F674E">
              <w:t xml:space="preserve">A GIA was undertaken on a water corporation </w:t>
            </w:r>
            <w:r>
              <w:t xml:space="preserve">public </w:t>
            </w:r>
            <w:r w:rsidRPr="003F674E">
              <w:t>policy</w:t>
            </w:r>
            <w:r>
              <w:t xml:space="preserve"> during the reporting period. </w:t>
            </w:r>
          </w:p>
          <w:p w14:paraId="14F56278" w14:textId="77777777" w:rsidR="0067124C" w:rsidRDefault="0067124C" w:rsidP="00F538C8">
            <w:pPr>
              <w:pStyle w:val="Body"/>
            </w:pPr>
            <w:r>
              <w:t>S</w:t>
            </w:r>
            <w:r w:rsidRPr="003F674E">
              <w:t>everal recommendations were made</w:t>
            </w:r>
            <w:r>
              <w:t>.</w:t>
            </w:r>
          </w:p>
          <w:p w14:paraId="24CF57C2" w14:textId="77777777" w:rsidR="0067124C" w:rsidRDefault="0067124C" w:rsidP="00F538C8">
            <w:pPr>
              <w:pStyle w:val="Body"/>
            </w:pPr>
            <w:r>
              <w:t>A</w:t>
            </w:r>
            <w:r w:rsidRPr="003F674E">
              <w:t xml:space="preserve">ll </w:t>
            </w:r>
            <w:r>
              <w:t xml:space="preserve">were </w:t>
            </w:r>
            <w:r w:rsidRPr="003F674E">
              <w:t>approved for implementation</w:t>
            </w:r>
            <w:r>
              <w:t xml:space="preserve"> by the CEO.</w:t>
            </w:r>
          </w:p>
        </w:tc>
        <w:tc>
          <w:tcPr>
            <w:tcW w:w="3654" w:type="dxa"/>
          </w:tcPr>
          <w:p w14:paraId="41666FDD" w14:textId="77777777" w:rsidR="0067124C" w:rsidRDefault="0067124C" w:rsidP="00F538C8">
            <w:pPr>
              <w:pStyle w:val="Body"/>
            </w:pPr>
            <w:r w:rsidRPr="003F674E">
              <w:t>Report on this GIA</w:t>
            </w:r>
            <w:r>
              <w:t>.</w:t>
            </w:r>
          </w:p>
          <w:p w14:paraId="11DE4894" w14:textId="77777777" w:rsidR="0067124C" w:rsidRDefault="0067124C" w:rsidP="00F538C8">
            <w:pPr>
              <w:pStyle w:val="Body"/>
            </w:pPr>
            <w:r>
              <w:t>S</w:t>
            </w:r>
            <w:r w:rsidRPr="003F674E">
              <w:t>elect ‘yes’ in column F</w:t>
            </w:r>
            <w:r>
              <w:t>.</w:t>
            </w:r>
          </w:p>
          <w:p w14:paraId="179320B2" w14:textId="77777777" w:rsidR="0067124C" w:rsidRDefault="0067124C" w:rsidP="00F538C8">
            <w:pPr>
              <w:pStyle w:val="Body"/>
            </w:pPr>
            <w:r>
              <w:t>D</w:t>
            </w:r>
            <w:r w:rsidRPr="003F674E">
              <w:t>escribe the actions in column G.</w:t>
            </w:r>
          </w:p>
        </w:tc>
      </w:tr>
      <w:tr w:rsidR="0067124C" w14:paraId="4655216B" w14:textId="77777777" w:rsidTr="007F6E03">
        <w:tc>
          <w:tcPr>
            <w:tcW w:w="5272" w:type="dxa"/>
          </w:tcPr>
          <w:p w14:paraId="55730C55" w14:textId="77777777" w:rsidR="0067124C" w:rsidRDefault="0067124C" w:rsidP="00F538C8">
            <w:pPr>
              <w:pStyle w:val="Body"/>
            </w:pPr>
            <w:r w:rsidRPr="003F674E">
              <w:t>A GIA was undertaken on a Victorian Government department</w:t>
            </w:r>
            <w:r>
              <w:t>’s public</w:t>
            </w:r>
            <w:r w:rsidRPr="003F674E">
              <w:t xml:space="preserve"> program</w:t>
            </w:r>
            <w:r>
              <w:t xml:space="preserve">. </w:t>
            </w:r>
          </w:p>
          <w:p w14:paraId="39ACE948" w14:textId="77777777" w:rsidR="0067124C" w:rsidRDefault="0067124C" w:rsidP="00F538C8">
            <w:pPr>
              <w:pStyle w:val="Body"/>
            </w:pPr>
            <w:r>
              <w:t>S</w:t>
            </w:r>
            <w:r w:rsidRPr="003F674E">
              <w:t>everal recommendations were made</w:t>
            </w:r>
            <w:r>
              <w:t xml:space="preserve">. </w:t>
            </w:r>
          </w:p>
          <w:p w14:paraId="397E35D0" w14:textId="77777777" w:rsidR="0067124C" w:rsidRDefault="0067124C" w:rsidP="00F538C8">
            <w:pPr>
              <w:pStyle w:val="Body"/>
            </w:pPr>
            <w:r>
              <w:t>S</w:t>
            </w:r>
            <w:r w:rsidRPr="003F674E">
              <w:t xml:space="preserve">ome recommendations were approved, and some </w:t>
            </w:r>
            <w:r>
              <w:t xml:space="preserve">were </w:t>
            </w:r>
            <w:r w:rsidRPr="003F674E">
              <w:t>rejected</w:t>
            </w:r>
            <w:r>
              <w:t xml:space="preserve"> by the relevant Deputy Secretary.</w:t>
            </w:r>
          </w:p>
        </w:tc>
        <w:tc>
          <w:tcPr>
            <w:tcW w:w="3654" w:type="dxa"/>
          </w:tcPr>
          <w:p w14:paraId="39E3516B" w14:textId="77777777" w:rsidR="0067124C" w:rsidRDefault="0067124C" w:rsidP="00F538C8">
            <w:pPr>
              <w:pStyle w:val="Body"/>
            </w:pPr>
            <w:r w:rsidRPr="003F674E">
              <w:t>Report on this GIA</w:t>
            </w:r>
            <w:r>
              <w:t>.</w:t>
            </w:r>
          </w:p>
          <w:p w14:paraId="60B73C14" w14:textId="77777777" w:rsidR="0067124C" w:rsidRDefault="0067124C" w:rsidP="00F538C8">
            <w:pPr>
              <w:pStyle w:val="Body"/>
            </w:pPr>
            <w:r>
              <w:t>S</w:t>
            </w:r>
            <w:r w:rsidRPr="003F674E">
              <w:t>elect ‘yes’ in column F</w:t>
            </w:r>
            <w:r>
              <w:t>.</w:t>
            </w:r>
          </w:p>
          <w:p w14:paraId="7088ACAB" w14:textId="77777777" w:rsidR="0067124C" w:rsidRDefault="0067124C" w:rsidP="00F538C8">
            <w:pPr>
              <w:pStyle w:val="Body"/>
            </w:pPr>
            <w:r>
              <w:t>D</w:t>
            </w:r>
            <w:r w:rsidRPr="003F674E">
              <w:t xml:space="preserve">escribe the </w:t>
            </w:r>
            <w:r>
              <w:t xml:space="preserve">approved </w:t>
            </w:r>
            <w:r w:rsidRPr="003F674E">
              <w:t>actions in column G.</w:t>
            </w:r>
          </w:p>
        </w:tc>
      </w:tr>
      <w:tr w:rsidR="0067124C" w14:paraId="45B41C58" w14:textId="77777777" w:rsidTr="007F6E03">
        <w:tc>
          <w:tcPr>
            <w:tcW w:w="5272" w:type="dxa"/>
          </w:tcPr>
          <w:p w14:paraId="4AEFE51B" w14:textId="6AA0C027" w:rsidR="0067124C" w:rsidRDefault="0067124C" w:rsidP="00F538C8">
            <w:pPr>
              <w:pStyle w:val="Body"/>
            </w:pPr>
            <w:r w:rsidRPr="003F674E">
              <w:t>A GIA was undertaken on a public health service</w:t>
            </w:r>
            <w:r>
              <w:t>’s public program.</w:t>
            </w:r>
          </w:p>
          <w:p w14:paraId="7035117A" w14:textId="77777777" w:rsidR="0067124C" w:rsidRDefault="0067124C" w:rsidP="00F538C8">
            <w:pPr>
              <w:pStyle w:val="Body"/>
            </w:pPr>
            <w:r>
              <w:t>S</w:t>
            </w:r>
            <w:r w:rsidRPr="003F674E">
              <w:t>everal recommendations were made</w:t>
            </w:r>
            <w:r>
              <w:t>.</w:t>
            </w:r>
          </w:p>
          <w:p w14:paraId="3EEC58E7" w14:textId="77777777" w:rsidR="0067124C" w:rsidRDefault="0067124C" w:rsidP="00F538C8">
            <w:pPr>
              <w:pStyle w:val="Body"/>
            </w:pPr>
            <w:r>
              <w:t>N</w:t>
            </w:r>
            <w:r w:rsidRPr="003F674E">
              <w:t>o recommendations will be implemented due to resourcing decisions</w:t>
            </w:r>
            <w:r>
              <w:t xml:space="preserve"> by senior leaders.</w:t>
            </w:r>
          </w:p>
        </w:tc>
        <w:tc>
          <w:tcPr>
            <w:tcW w:w="3654" w:type="dxa"/>
          </w:tcPr>
          <w:p w14:paraId="0C1B58D5" w14:textId="77777777" w:rsidR="0067124C" w:rsidRDefault="0067124C" w:rsidP="00F538C8">
            <w:pPr>
              <w:pStyle w:val="Body"/>
            </w:pPr>
            <w:r w:rsidRPr="003F674E">
              <w:t>Report on this GIA</w:t>
            </w:r>
            <w:r>
              <w:t>.</w:t>
            </w:r>
          </w:p>
          <w:p w14:paraId="102B9EBA" w14:textId="77777777" w:rsidR="0067124C" w:rsidRDefault="0067124C" w:rsidP="00F538C8">
            <w:pPr>
              <w:pStyle w:val="Body"/>
            </w:pPr>
            <w:r>
              <w:t>Se</w:t>
            </w:r>
            <w:r w:rsidRPr="003F674E">
              <w:t>lect ‘no’ in column F</w:t>
            </w:r>
            <w:r>
              <w:t>.</w:t>
            </w:r>
          </w:p>
          <w:p w14:paraId="7474F3A6" w14:textId="77777777" w:rsidR="0067124C" w:rsidRDefault="0067124C" w:rsidP="00F538C8">
            <w:pPr>
              <w:pStyle w:val="Body"/>
            </w:pPr>
            <w:r>
              <w:t>D</w:t>
            </w:r>
            <w:r w:rsidRPr="003F674E">
              <w:t>escribe why no actions were taken</w:t>
            </w:r>
            <w:r>
              <w:t xml:space="preserve"> in column H</w:t>
            </w:r>
            <w:r w:rsidRPr="003F674E">
              <w:t>.</w:t>
            </w:r>
          </w:p>
        </w:tc>
      </w:tr>
      <w:tr w:rsidR="0067124C" w14:paraId="55FAACED" w14:textId="77777777" w:rsidTr="007F6E03">
        <w:tc>
          <w:tcPr>
            <w:tcW w:w="5272" w:type="dxa"/>
          </w:tcPr>
          <w:p w14:paraId="29B02B2B" w14:textId="77777777" w:rsidR="0067124C" w:rsidRDefault="0067124C" w:rsidP="00F538C8">
            <w:pPr>
              <w:pStyle w:val="Body"/>
            </w:pPr>
            <w:r w:rsidRPr="003F674E">
              <w:t>A GIA was undertaken on a local government policy</w:t>
            </w:r>
            <w:r>
              <w:t xml:space="preserve"> impacting the public. </w:t>
            </w:r>
          </w:p>
          <w:p w14:paraId="6674EA3C" w14:textId="77777777" w:rsidR="0067124C" w:rsidRDefault="0067124C" w:rsidP="00F538C8">
            <w:pPr>
              <w:pStyle w:val="Body"/>
            </w:pPr>
            <w:r>
              <w:t>S</w:t>
            </w:r>
            <w:r w:rsidRPr="003F674E">
              <w:t>everal recommendations were made</w:t>
            </w:r>
            <w:r>
              <w:t>.</w:t>
            </w:r>
          </w:p>
          <w:p w14:paraId="2E4AE2EE" w14:textId="0E4AC56D" w:rsidR="0067124C" w:rsidRDefault="0067124C" w:rsidP="00F538C8">
            <w:pPr>
              <w:pStyle w:val="Body"/>
            </w:pPr>
            <w:r>
              <w:t>N</w:t>
            </w:r>
            <w:r w:rsidRPr="003F674E">
              <w:t>o decision has been reached yet as to which recommendations will be approved</w:t>
            </w:r>
            <w:r>
              <w:t>. This is because</w:t>
            </w:r>
            <w:r w:rsidRPr="003F674E">
              <w:t xml:space="preserve"> Council has not yet considered the proposal</w:t>
            </w:r>
            <w:r>
              <w:t>.</w:t>
            </w:r>
          </w:p>
        </w:tc>
        <w:tc>
          <w:tcPr>
            <w:tcW w:w="3654" w:type="dxa"/>
          </w:tcPr>
          <w:p w14:paraId="09F083DB" w14:textId="77777777" w:rsidR="0067124C" w:rsidRDefault="0067124C" w:rsidP="00F538C8">
            <w:pPr>
              <w:pStyle w:val="Body"/>
            </w:pPr>
            <w:r w:rsidRPr="003F674E">
              <w:t xml:space="preserve">Do not report on this GIA. </w:t>
            </w:r>
          </w:p>
          <w:p w14:paraId="6AFF0F4B" w14:textId="77777777" w:rsidR="0067124C" w:rsidRDefault="0067124C" w:rsidP="00F538C8">
            <w:pPr>
              <w:pStyle w:val="Body"/>
            </w:pPr>
            <w:r w:rsidRPr="003F674E">
              <w:t>If the GIA is finalised in the next reporting period, report on this GIA</w:t>
            </w:r>
            <w:r w:rsidRPr="003F674E" w:rsidDel="00DE74FC">
              <w:t xml:space="preserve"> </w:t>
            </w:r>
            <w:r w:rsidRPr="003F674E">
              <w:t>in the next progress report.</w:t>
            </w:r>
          </w:p>
        </w:tc>
      </w:tr>
    </w:tbl>
    <w:p w14:paraId="11CD8D4F" w14:textId="77777777" w:rsidR="0067124C" w:rsidRPr="00A93B4F" w:rsidRDefault="0067124C" w:rsidP="000D4763">
      <w:pPr>
        <w:pStyle w:val="Body"/>
      </w:pPr>
      <w:r w:rsidRPr="00A31579">
        <w:t>In this part, you will find:</w:t>
      </w:r>
    </w:p>
    <w:p w14:paraId="15B2CC52" w14:textId="77777777" w:rsidR="0067124C" w:rsidRPr="00A31579" w:rsidRDefault="0067124C" w:rsidP="0067124C">
      <w:pPr>
        <w:pStyle w:val="Bullet1"/>
      </w:pPr>
      <w:r w:rsidRPr="00515569">
        <w:rPr>
          <w:highlight w:val="lightGray"/>
        </w:rPr>
        <w:t>1.1 Confirming your GIA exemptions</w:t>
      </w:r>
      <w:r w:rsidRPr="00A31579">
        <w:t xml:space="preserve"> (</w:t>
      </w:r>
      <w:r w:rsidRPr="0011409B">
        <w:rPr>
          <w:b/>
          <w:bCs/>
        </w:rPr>
        <w:t>required</w:t>
      </w:r>
      <w:r w:rsidRPr="00A31579">
        <w:t>)</w:t>
      </w:r>
    </w:p>
    <w:p w14:paraId="0755173F" w14:textId="77777777" w:rsidR="0067124C" w:rsidRPr="00515569" w:rsidRDefault="0067124C" w:rsidP="0067124C">
      <w:pPr>
        <w:pStyle w:val="Bullet1"/>
        <w:rPr>
          <w:highlight w:val="lightGray"/>
        </w:rPr>
      </w:pPr>
      <w:r w:rsidRPr="00515569">
        <w:rPr>
          <w:highlight w:val="lightGray"/>
        </w:rPr>
        <w:t xml:space="preserve">1.2 Describing policies, programs </w:t>
      </w:r>
      <w:r>
        <w:rPr>
          <w:highlight w:val="lightGray"/>
        </w:rPr>
        <w:t>or</w:t>
      </w:r>
      <w:r w:rsidRPr="00515569">
        <w:rPr>
          <w:highlight w:val="lightGray"/>
        </w:rPr>
        <w:t xml:space="preserve"> services subject to </w:t>
      </w:r>
      <w:r>
        <w:rPr>
          <w:highlight w:val="lightGray"/>
        </w:rPr>
        <w:t xml:space="preserve">a </w:t>
      </w:r>
      <w:r w:rsidRPr="00515569">
        <w:rPr>
          <w:highlight w:val="lightGray"/>
        </w:rPr>
        <w:t>GIA</w:t>
      </w:r>
      <w:r w:rsidRPr="003A6EA4">
        <w:t xml:space="preserve"> (</w:t>
      </w:r>
      <w:r w:rsidRPr="0011409B">
        <w:rPr>
          <w:b/>
          <w:bCs/>
        </w:rPr>
        <w:t>required and recommended items</w:t>
      </w:r>
      <w:r w:rsidRPr="003A6EA4">
        <w:t>)</w:t>
      </w:r>
    </w:p>
    <w:p w14:paraId="66697ADD" w14:textId="77777777" w:rsidR="0067124C" w:rsidRPr="00A31579" w:rsidRDefault="0067124C" w:rsidP="0067124C">
      <w:pPr>
        <w:pStyle w:val="Bullet1"/>
      </w:pPr>
      <w:r w:rsidRPr="003A6EA4">
        <w:rPr>
          <w:highlight w:val="lightGray"/>
        </w:rPr>
        <w:t>1</w:t>
      </w:r>
      <w:r w:rsidRPr="00515569">
        <w:rPr>
          <w:highlight w:val="lightGray"/>
        </w:rPr>
        <w:t xml:space="preserve">.3 Describing actions taken </w:t>
      </w:r>
      <w:proofErr w:type="gramStart"/>
      <w:r w:rsidRPr="00515569">
        <w:rPr>
          <w:highlight w:val="lightGray"/>
        </w:rPr>
        <w:t>as a result of</w:t>
      </w:r>
      <w:proofErr w:type="gramEnd"/>
      <w:r w:rsidRPr="00515569">
        <w:rPr>
          <w:highlight w:val="lightGray"/>
        </w:rPr>
        <w:t xml:space="preserve"> </w:t>
      </w:r>
      <w:r>
        <w:rPr>
          <w:highlight w:val="lightGray"/>
        </w:rPr>
        <w:t xml:space="preserve">a </w:t>
      </w:r>
      <w:r w:rsidRPr="00515569">
        <w:rPr>
          <w:highlight w:val="lightGray"/>
        </w:rPr>
        <w:t>GIA</w:t>
      </w:r>
      <w:r w:rsidRPr="00A31579">
        <w:t xml:space="preserve"> (</w:t>
      </w:r>
      <w:r w:rsidRPr="0011409B">
        <w:rPr>
          <w:b/>
          <w:bCs/>
        </w:rPr>
        <w:t>required and recommended items</w:t>
      </w:r>
      <w:r w:rsidRPr="00A31579">
        <w:t>)</w:t>
      </w:r>
    </w:p>
    <w:p w14:paraId="20936475" w14:textId="77777777" w:rsidR="0067124C" w:rsidRDefault="0067124C" w:rsidP="0067124C">
      <w:pPr>
        <w:pStyle w:val="Heading2"/>
      </w:pPr>
      <w:r>
        <w:t>1.1 Confirming GIA exemptions (required)</w:t>
      </w:r>
    </w:p>
    <w:p w14:paraId="51819453" w14:textId="77777777" w:rsidR="0067124C" w:rsidRDefault="0067124C" w:rsidP="00F538C8">
      <w:pPr>
        <w:pStyle w:val="Heading3"/>
      </w:pPr>
      <w:r>
        <w:t>Summary</w:t>
      </w:r>
    </w:p>
    <w:p w14:paraId="73241A5A" w14:textId="77777777" w:rsidR="0067124C" w:rsidRPr="00A93B4F" w:rsidRDefault="0067124C" w:rsidP="00F538C8">
      <w:pPr>
        <w:pStyle w:val="Bullet1"/>
      </w:pPr>
      <w:r w:rsidRPr="00A93B4F">
        <w:t>If applicable, select the permitted reason why you have not listed any policy, program or service that was subject to a GIA.</w:t>
      </w:r>
    </w:p>
    <w:p w14:paraId="4B13E59B" w14:textId="77777777" w:rsidR="0067124C" w:rsidRPr="00A93B4F" w:rsidRDefault="0067124C" w:rsidP="00F538C8">
      <w:pPr>
        <w:pStyle w:val="Bullet1"/>
      </w:pPr>
      <w:r w:rsidRPr="00A93B4F">
        <w:t>You can select more than one reason.</w:t>
      </w:r>
    </w:p>
    <w:p w14:paraId="555C4F56" w14:textId="77777777" w:rsidR="0067124C" w:rsidRPr="00A93B4F" w:rsidRDefault="0067124C" w:rsidP="00F538C8">
      <w:pPr>
        <w:pStyle w:val="Bullet1"/>
      </w:pPr>
      <w:r w:rsidRPr="00A93B4F">
        <w:t>Explain how the reason(s) apply to you.</w:t>
      </w:r>
    </w:p>
    <w:p w14:paraId="515C82E3" w14:textId="77777777" w:rsidR="0067124C" w:rsidRPr="00A93B4F" w:rsidRDefault="0067124C" w:rsidP="00F538C8">
      <w:pPr>
        <w:pStyle w:val="Bullet1"/>
      </w:pPr>
      <w:r w:rsidRPr="00A93B4F">
        <w:t>Select ‘None of these apply’ and write ‘NA’ under explanation if the exemptions don’t apply.</w:t>
      </w:r>
    </w:p>
    <w:p w14:paraId="432589B1" w14:textId="22CDD462" w:rsidR="00A93B4F" w:rsidRDefault="00A93B4F" w:rsidP="0017087D">
      <w:pPr>
        <w:pStyle w:val="Body"/>
        <w:rPr>
          <w:lang w:val="en-GB"/>
        </w:rPr>
      </w:pPr>
      <w:r>
        <w:rPr>
          <w:lang w:val="en-GB"/>
        </w:rPr>
        <w:t xml:space="preserve">Section 19(4) of the </w:t>
      </w:r>
      <w:r w:rsidR="0067124C">
        <w:rPr>
          <w:lang w:val="en-GB"/>
        </w:rPr>
        <w:t xml:space="preserve">Act </w:t>
      </w:r>
      <w:r>
        <w:rPr>
          <w:lang w:val="en-GB"/>
        </w:rPr>
        <w:t>sets out the</w:t>
      </w:r>
      <w:r w:rsidR="0067124C">
        <w:rPr>
          <w:lang w:val="en-GB"/>
        </w:rPr>
        <w:t xml:space="preserve"> </w:t>
      </w:r>
      <w:r w:rsidR="0067124C" w:rsidRPr="00F538C8">
        <w:t>permitted</w:t>
      </w:r>
      <w:r w:rsidR="0067124C">
        <w:rPr>
          <w:lang w:val="en-GB"/>
        </w:rPr>
        <w:t xml:space="preserve"> reasons why you might not be able to identify or report on policies, programs and services subject to a GIA. </w:t>
      </w:r>
    </w:p>
    <w:p w14:paraId="651626D7" w14:textId="30A4F3B1" w:rsidR="0067124C" w:rsidRDefault="0067124C" w:rsidP="00A93B4F">
      <w:pPr>
        <w:pStyle w:val="Body"/>
      </w:pPr>
      <w:r>
        <w:rPr>
          <w:lang w:val="en-GB"/>
        </w:rPr>
        <w:t>In some cases, you may not have been required to undertake any GIAs in the reporting period.</w:t>
      </w:r>
    </w:p>
    <w:p w14:paraId="1DDCE0EC" w14:textId="7A5875FC" w:rsidR="0067124C" w:rsidRDefault="0067124C" w:rsidP="0067124C">
      <w:pPr>
        <w:pStyle w:val="Body"/>
      </w:pPr>
      <w:r>
        <w:rPr>
          <w:lang w:val="en-GB"/>
        </w:rPr>
        <w:t xml:space="preserve">If you have a permitted reason for not reporting on any GIAs in your progress report, it is important to identify this. If you </w:t>
      </w:r>
      <w:r w:rsidR="00A93B4F">
        <w:rPr>
          <w:lang w:val="en-GB"/>
        </w:rPr>
        <w:t xml:space="preserve">do not </w:t>
      </w:r>
      <w:r>
        <w:rPr>
          <w:lang w:val="en-GB"/>
        </w:rPr>
        <w:t>do so, the Commissioner will not know if you have complied with the Act.</w:t>
      </w:r>
    </w:p>
    <w:p w14:paraId="3DAD76E8" w14:textId="77777777" w:rsidR="0067124C" w:rsidRPr="007C2B2D" w:rsidRDefault="0067124C" w:rsidP="0067124C">
      <w:pPr>
        <w:pStyle w:val="Body"/>
      </w:pPr>
      <w:r w:rsidRPr="00F93EC6">
        <w:rPr>
          <w:lang w:val="en-GB"/>
        </w:rPr>
        <w:t>Permitted reasons</w:t>
      </w:r>
      <w:r w:rsidRPr="007C2B2D">
        <w:rPr>
          <w:lang w:val="en-GB"/>
        </w:rPr>
        <w:t xml:space="preserve"> include at least one of the following:</w:t>
      </w:r>
    </w:p>
    <w:p w14:paraId="42B76C76" w14:textId="2EB3468D" w:rsidR="0067124C" w:rsidRPr="007C2B2D" w:rsidRDefault="0067124C" w:rsidP="0067124C">
      <w:pPr>
        <w:pStyle w:val="Bullet1"/>
      </w:pPr>
      <w:r w:rsidRPr="007C2B2D">
        <w:t xml:space="preserve">doing so would make the progress report an exempt document within the meaning of the </w:t>
      </w:r>
      <w:r w:rsidRPr="00F538C8">
        <w:rPr>
          <w:i/>
          <w:iCs/>
        </w:rPr>
        <w:t>Freedom of Information Act 1982</w:t>
      </w:r>
    </w:p>
    <w:p w14:paraId="11C8BDF7" w14:textId="2EA64865" w:rsidR="0067124C" w:rsidRPr="007C2B2D" w:rsidRDefault="0067124C" w:rsidP="0067124C">
      <w:pPr>
        <w:pStyle w:val="Bullet1"/>
      </w:pPr>
      <w:r w:rsidRPr="007C2B2D">
        <w:t>doing so would result in a disclosure prohibited by a different Act</w:t>
      </w:r>
    </w:p>
    <w:p w14:paraId="5D2C7110" w14:textId="3C3414DF" w:rsidR="0067124C" w:rsidRPr="007C2B2D" w:rsidRDefault="0067124C" w:rsidP="0067124C">
      <w:pPr>
        <w:pStyle w:val="Bullet1"/>
      </w:pPr>
      <w:r w:rsidRPr="007C2B2D">
        <w:t>doing so would reveal confidential information</w:t>
      </w:r>
    </w:p>
    <w:p w14:paraId="0CFA65D5" w14:textId="77777777" w:rsidR="0067124C" w:rsidRPr="007C2B2D" w:rsidRDefault="0067124C" w:rsidP="0067124C">
      <w:pPr>
        <w:pStyle w:val="Bullet1"/>
      </w:pPr>
      <w:r w:rsidRPr="007C2B2D">
        <w:t>the entity had no policies, programs or services that met the</w:t>
      </w:r>
      <w:r>
        <w:t xml:space="preserve"> Act’s </w:t>
      </w:r>
      <w:hyperlink r:id="rId32" w:tooltip="Assess the impact" w:history="1">
        <w:r w:rsidRPr="007C2B2D">
          <w:rPr>
            <w:rStyle w:val="Hyperlink"/>
          </w:rPr>
          <w:t>threshold for a GIA</w:t>
        </w:r>
      </w:hyperlink>
      <w:r w:rsidRPr="007C2B2D">
        <w:t>.</w:t>
      </w:r>
    </w:p>
    <w:p w14:paraId="7D2148E2" w14:textId="77777777" w:rsidR="0067124C" w:rsidRDefault="0067124C" w:rsidP="0067124C">
      <w:pPr>
        <w:pStyle w:val="Body"/>
      </w:pPr>
    </w:p>
    <w:p w14:paraId="00F60243" w14:textId="77777777" w:rsidR="0067124C" w:rsidRDefault="0067124C" w:rsidP="0067124C">
      <w:pPr>
        <w:pStyle w:val="Heading4"/>
      </w:pPr>
      <w:r>
        <w:t>Advice for demonstrating compliance</w:t>
      </w:r>
    </w:p>
    <w:p w14:paraId="78C17710" w14:textId="3511821C" w:rsidR="0067124C" w:rsidRDefault="00A93B4F" w:rsidP="0067124C">
      <w:pPr>
        <w:pStyle w:val="Body"/>
      </w:pPr>
      <w:r>
        <w:t xml:space="preserve">You </w:t>
      </w:r>
      <w:r w:rsidRPr="007C2B2D">
        <w:t xml:space="preserve">will </w:t>
      </w:r>
      <w:r w:rsidRPr="00A93B4F">
        <w:t>receive</w:t>
      </w:r>
      <w:r w:rsidRPr="007C2B2D">
        <w:t xml:space="preserve"> an outcome of </w:t>
      </w:r>
      <w:hyperlink r:id="rId33" w:history="1">
        <w:r w:rsidRPr="007C2B2D">
          <w:rPr>
            <w:rStyle w:val="Hyperlink"/>
          </w:rPr>
          <w:t>‘compliance not demonstrated’</w:t>
        </w:r>
      </w:hyperlink>
      <w:r>
        <w:t xml:space="preserve"> i</w:t>
      </w:r>
      <w:r w:rsidR="0067124C">
        <w:t>f you:</w:t>
      </w:r>
    </w:p>
    <w:p w14:paraId="31019FE5" w14:textId="42278C7B" w:rsidR="0067124C" w:rsidRDefault="0067124C" w:rsidP="0067124C">
      <w:pPr>
        <w:pStyle w:val="Bullet1"/>
      </w:pPr>
      <w:r>
        <w:t xml:space="preserve">do not report on policies, programs and services that were subject to a GIA, </w:t>
      </w:r>
      <w:r w:rsidR="00A93B4F" w:rsidRPr="00A93B4F">
        <w:rPr>
          <w:b/>
          <w:bCs/>
        </w:rPr>
        <w:t>and</w:t>
      </w:r>
    </w:p>
    <w:p w14:paraId="265FD59B" w14:textId="77777777" w:rsidR="0067124C" w:rsidRDefault="0067124C" w:rsidP="0067124C">
      <w:pPr>
        <w:pStyle w:val="Bullet1"/>
      </w:pPr>
      <w:r w:rsidRPr="00D4095E">
        <w:t xml:space="preserve">do not </w:t>
      </w:r>
      <w:r>
        <w:t>select the permitted reason and explain the reason further.</w:t>
      </w:r>
    </w:p>
    <w:p w14:paraId="656CFFA7" w14:textId="77777777" w:rsidR="0067124C" w:rsidRPr="00A93B4F" w:rsidRDefault="0067124C" w:rsidP="00A93B4F">
      <w:pPr>
        <w:pStyle w:val="Heading4"/>
      </w:pPr>
      <w:r>
        <w:t>Privacy obligations</w:t>
      </w:r>
    </w:p>
    <w:p w14:paraId="219898F0" w14:textId="77777777" w:rsidR="0067124C" w:rsidRPr="006D7272" w:rsidRDefault="0067124C" w:rsidP="0067124C">
      <w:pPr>
        <w:pStyle w:val="Body"/>
      </w:pPr>
      <w:r>
        <w:t>You</w:t>
      </w:r>
      <w:r w:rsidRPr="006D7272">
        <w:t xml:space="preserve"> </w:t>
      </w:r>
      <w:r>
        <w:t>will have</w:t>
      </w:r>
      <w:r w:rsidRPr="006D7272">
        <w:t xml:space="preserve"> existing obligations under relevant privacy legislation that you must meet when conducting work under the </w:t>
      </w:r>
      <w:r>
        <w:t xml:space="preserve">Gender Equality </w:t>
      </w:r>
      <w:r w:rsidRPr="006D7272">
        <w:t xml:space="preserve">Act. </w:t>
      </w:r>
      <w:r>
        <w:t>Y</w:t>
      </w:r>
      <w:r w:rsidRPr="006D7272">
        <w:t xml:space="preserve">ou must not report on a </w:t>
      </w:r>
      <w:r>
        <w:t>policy, program or service</w:t>
      </w:r>
      <w:r w:rsidRPr="006D7272">
        <w:t xml:space="preserve"> if it would disclose confidential or prohibited information.</w:t>
      </w:r>
    </w:p>
    <w:p w14:paraId="762FFEE9" w14:textId="77777777" w:rsidR="0067124C" w:rsidRDefault="0067124C" w:rsidP="0067124C">
      <w:pPr>
        <w:pStyle w:val="Body"/>
      </w:pPr>
      <w:r w:rsidRPr="006D7272">
        <w:t xml:space="preserve">When identifying a </w:t>
      </w:r>
      <w:r>
        <w:t>policy, program or service</w:t>
      </w:r>
      <w:r w:rsidRPr="006D7272">
        <w:t xml:space="preserve"> that was subject to a GIA or reporting on actions taken, you should determine if this would disclose any information that is confidential</w:t>
      </w:r>
      <w:r w:rsidRPr="00F02EC6">
        <w:t xml:space="preserve">. </w:t>
      </w:r>
    </w:p>
    <w:p w14:paraId="2A5314AD" w14:textId="77777777" w:rsidR="0067124C" w:rsidRDefault="0067124C" w:rsidP="0067124C">
      <w:pPr>
        <w:pStyle w:val="Body"/>
      </w:pPr>
      <w:r>
        <w:t>In addition to the ‘permitted reason’ list above, this may also include information that is considered Cabinet in Confidence (for Victorian Public Service departments), such as a business case that was not funded.</w:t>
      </w:r>
    </w:p>
    <w:p w14:paraId="20D2733E" w14:textId="0AC4F6DF" w:rsidR="00A93B4F" w:rsidRDefault="0067124C" w:rsidP="0067124C">
      <w:pPr>
        <w:pStyle w:val="Body"/>
        <w:rPr>
          <w:rFonts w:cs="Arial"/>
          <w:color w:val="011A3C"/>
        </w:rPr>
      </w:pPr>
      <w:r w:rsidRPr="00585318">
        <w:t>For further</w:t>
      </w:r>
      <w:r>
        <w:rPr>
          <w:rFonts w:cs="Segoe UI"/>
          <w:szCs w:val="22"/>
        </w:rPr>
        <w:t xml:space="preserve"> advice,</w:t>
      </w:r>
      <w:r w:rsidDel="006B35DE">
        <w:rPr>
          <w:rFonts w:cs="Arial"/>
          <w:color w:val="011A3C"/>
        </w:rPr>
        <w:t xml:space="preserve"> </w:t>
      </w:r>
      <w:r>
        <w:rPr>
          <w:rFonts w:cs="Segoe UI"/>
          <w:szCs w:val="22"/>
        </w:rPr>
        <w:t>contact</w:t>
      </w:r>
      <w:r w:rsidRPr="00410447">
        <w:rPr>
          <w:rFonts w:cs="Segoe UI"/>
          <w:szCs w:val="22"/>
        </w:rPr>
        <w:t xml:space="preserve"> the </w:t>
      </w:r>
      <w:hyperlink r:id="rId34" w:history="1">
        <w:r w:rsidRPr="00410447">
          <w:rPr>
            <w:rStyle w:val="Hyperlink"/>
            <w:rFonts w:cs="Segoe UI"/>
            <w:szCs w:val="22"/>
          </w:rPr>
          <w:t>Office of the Victorian Infor</w:t>
        </w:r>
        <w:bookmarkStart w:id="10" w:name="_Hlt122520288"/>
        <w:bookmarkStart w:id="11" w:name="_Hlt122520289"/>
        <w:r w:rsidRPr="00410447">
          <w:rPr>
            <w:rStyle w:val="Hyperlink"/>
            <w:rFonts w:cs="Segoe UI"/>
            <w:szCs w:val="22"/>
          </w:rPr>
          <w:t>m</w:t>
        </w:r>
        <w:bookmarkEnd w:id="10"/>
        <w:bookmarkEnd w:id="11"/>
        <w:r w:rsidRPr="00410447">
          <w:rPr>
            <w:rStyle w:val="Hyperlink"/>
            <w:rFonts w:cs="Segoe UI"/>
            <w:szCs w:val="22"/>
          </w:rPr>
          <w:t>ation Commissioner (OVIC)</w:t>
        </w:r>
      </w:hyperlink>
      <w:r>
        <w:rPr>
          <w:rFonts w:cs="Segoe UI"/>
          <w:szCs w:val="22"/>
        </w:rPr>
        <w:t xml:space="preserve"> which </w:t>
      </w:r>
      <w:r w:rsidRPr="006D7272">
        <w:t>also</w:t>
      </w:r>
      <w:r>
        <w:rPr>
          <w:rFonts w:cs="Segoe UI"/>
          <w:szCs w:val="22"/>
        </w:rPr>
        <w:t xml:space="preserve"> has further information abo</w:t>
      </w:r>
      <w:r>
        <w:t xml:space="preserve">ut </w:t>
      </w:r>
      <w:hyperlink r:id="rId35" w:anchor="foi-exemptions" w:history="1">
        <w:r w:rsidRPr="009C3A38">
          <w:rPr>
            <w:rStyle w:val="Hyperlink"/>
            <w:rFonts w:cs="Segoe UI"/>
            <w:szCs w:val="22"/>
          </w:rPr>
          <w:t xml:space="preserve">exemptions under the </w:t>
        </w:r>
        <w:r w:rsidRPr="00060D97">
          <w:rPr>
            <w:rStyle w:val="Hyperlink"/>
            <w:rFonts w:cs="Segoe UI"/>
            <w:szCs w:val="22"/>
          </w:rPr>
          <w:t xml:space="preserve">Freedom of Information </w:t>
        </w:r>
        <w:r w:rsidRPr="009C3A38">
          <w:rPr>
            <w:rStyle w:val="Hyperlink"/>
            <w:rFonts w:cs="Segoe UI"/>
            <w:szCs w:val="22"/>
          </w:rPr>
          <w:t>Act</w:t>
        </w:r>
      </w:hyperlink>
      <w:r w:rsidR="00A93B4F">
        <w:rPr>
          <w:rFonts w:cs="Arial"/>
          <w:color w:val="011A3C"/>
        </w:rPr>
        <w:t>.</w:t>
      </w:r>
    </w:p>
    <w:p w14:paraId="504CF734" w14:textId="51A0CC82" w:rsidR="0067124C" w:rsidRPr="00A93B4F" w:rsidRDefault="0067124C" w:rsidP="0067124C">
      <w:pPr>
        <w:pStyle w:val="Body"/>
        <w:rPr>
          <w:rFonts w:cs="Arial"/>
          <w:color w:val="011A3C"/>
        </w:rPr>
      </w:pPr>
      <w:r>
        <w:rPr>
          <w:rFonts w:cs="Arial"/>
          <w:color w:val="011A3C"/>
        </w:rPr>
        <w:t xml:space="preserve">You may also wish to </w:t>
      </w:r>
      <w:r w:rsidRPr="00242367">
        <w:rPr>
          <w:rFonts w:cs="Arial"/>
          <w:color w:val="011A3C"/>
        </w:rPr>
        <w:t xml:space="preserve">seek </w:t>
      </w:r>
      <w:r>
        <w:rPr>
          <w:rFonts w:cs="Arial"/>
          <w:color w:val="011A3C"/>
        </w:rPr>
        <w:t>legal</w:t>
      </w:r>
      <w:r w:rsidRPr="00242367">
        <w:rPr>
          <w:rFonts w:cs="Arial"/>
          <w:color w:val="011A3C"/>
        </w:rPr>
        <w:t xml:space="preserve"> advice</w:t>
      </w:r>
      <w:r>
        <w:rPr>
          <w:rFonts w:cs="Arial"/>
          <w:color w:val="011A3C"/>
        </w:rPr>
        <w:t>.</w:t>
      </w:r>
    </w:p>
    <w:p w14:paraId="2D02557E" w14:textId="77777777" w:rsidR="0067124C" w:rsidRDefault="0067124C" w:rsidP="0067124C">
      <w:pPr>
        <w:pStyle w:val="Heading2"/>
      </w:pPr>
      <w:r>
        <w:t>1.2 Describing</w:t>
      </w:r>
      <w:r w:rsidRPr="00CB5D62">
        <w:t xml:space="preserve"> polic</w:t>
      </w:r>
      <w:r>
        <w:t>ies</w:t>
      </w:r>
      <w:r w:rsidRPr="00CB5D62">
        <w:t>, program</w:t>
      </w:r>
      <w:r>
        <w:t>s or</w:t>
      </w:r>
      <w:r w:rsidRPr="00CB5D62">
        <w:t xml:space="preserve"> service</w:t>
      </w:r>
      <w:r>
        <w:t xml:space="preserve">s subject to a GIA </w:t>
      </w:r>
    </w:p>
    <w:p w14:paraId="4D967C51" w14:textId="77777777" w:rsidR="0067124C" w:rsidRPr="00A93B4F" w:rsidRDefault="0067124C" w:rsidP="00F538C8">
      <w:pPr>
        <w:pStyle w:val="Heading3"/>
      </w:pPr>
      <w:r w:rsidRPr="00515569">
        <w:t>Summary</w:t>
      </w:r>
    </w:p>
    <w:p w14:paraId="212C1C73" w14:textId="77777777" w:rsidR="0067124C" w:rsidRPr="00AD1FE7" w:rsidRDefault="0067124C" w:rsidP="00F538C8">
      <w:pPr>
        <w:pStyle w:val="Bullet1"/>
      </w:pPr>
      <w:r w:rsidRPr="00D4095E">
        <w:t>Identify</w:t>
      </w:r>
      <w:r>
        <w:t xml:space="preserve"> </w:t>
      </w:r>
      <w:r w:rsidRPr="00D4095E">
        <w:t xml:space="preserve">each policy, program </w:t>
      </w:r>
      <w:r>
        <w:t>or</w:t>
      </w:r>
      <w:r w:rsidRPr="00D4095E">
        <w:t xml:space="preserve"> service that </w:t>
      </w:r>
      <w:r>
        <w:t>was</w:t>
      </w:r>
      <w:r w:rsidRPr="00D4095E">
        <w:t xml:space="preserve"> the subject of a GIA </w:t>
      </w:r>
      <w:r>
        <w:t>during</w:t>
      </w:r>
      <w:r w:rsidRPr="00D4095E">
        <w:t xml:space="preserve"> </w:t>
      </w:r>
      <w:r>
        <w:t>the</w:t>
      </w:r>
      <w:r w:rsidRPr="00D4095E">
        <w:t xml:space="preserve"> reporting period</w:t>
      </w:r>
      <w:r>
        <w:t xml:space="preserve">. </w:t>
      </w:r>
    </w:p>
    <w:p w14:paraId="344C2645" w14:textId="77777777" w:rsidR="0067124C" w:rsidRPr="00831847" w:rsidRDefault="0067124C" w:rsidP="00F538C8">
      <w:pPr>
        <w:pStyle w:val="Bullet1"/>
        <w:rPr>
          <w:b/>
        </w:rPr>
      </w:pPr>
      <w:r>
        <w:t>Only include GIAs done on policies, programs or services that have a direct and significant impact on the public.</w:t>
      </w:r>
    </w:p>
    <w:p w14:paraId="6864EB46" w14:textId="77777777" w:rsidR="0067124C" w:rsidRDefault="0067124C" w:rsidP="00F538C8">
      <w:pPr>
        <w:pStyle w:val="Bullet1"/>
        <w:rPr>
          <w:b/>
        </w:rPr>
      </w:pPr>
      <w:r>
        <w:t>Only include GIAs that have been completed, where final decisions have been made about whether to change the policy, program or service.</w:t>
      </w:r>
    </w:p>
    <w:p w14:paraId="02A2BDD7" w14:textId="77777777" w:rsidR="0067124C" w:rsidRPr="00552896" w:rsidRDefault="0067124C" w:rsidP="00F538C8">
      <w:pPr>
        <w:pStyle w:val="Bullet1"/>
      </w:pPr>
      <w:r w:rsidRPr="00AD1FE7">
        <w:t xml:space="preserve">Exclude any policies, programs </w:t>
      </w:r>
      <w:r>
        <w:t>or</w:t>
      </w:r>
      <w:r w:rsidRPr="00AD1FE7">
        <w:t xml:space="preserve"> services that would disclose confidential information</w:t>
      </w:r>
      <w:r>
        <w:t>.</w:t>
      </w:r>
      <w:r w:rsidRPr="00AD1FE7">
        <w:rPr>
          <w:rFonts w:ascii="Cambria" w:hAnsi="Cambria" w:cs="Cambria"/>
          <w:sz w:val="20"/>
        </w:rPr>
        <w:t> </w:t>
      </w:r>
    </w:p>
    <w:p w14:paraId="385999AD" w14:textId="77777777" w:rsidR="0067124C" w:rsidRPr="00072969" w:rsidRDefault="0067124C" w:rsidP="00F538C8">
      <w:pPr>
        <w:pStyle w:val="Bullet1"/>
      </w:pPr>
      <w:r>
        <w:rPr>
          <w:rFonts w:cs="Cambria"/>
          <w:bCs/>
          <w:szCs w:val="22"/>
        </w:rPr>
        <w:t>Add more rows as needed.</w:t>
      </w:r>
    </w:p>
    <w:p w14:paraId="60696102" w14:textId="77777777" w:rsidR="0067124C" w:rsidRPr="00CB5D62" w:rsidRDefault="0067124C" w:rsidP="00F538C8">
      <w:pPr>
        <w:pStyle w:val="Bullet1"/>
      </w:pPr>
      <w:r>
        <w:rPr>
          <w:rFonts w:cs="Cambria"/>
          <w:bCs/>
          <w:szCs w:val="22"/>
        </w:rPr>
        <w:t>List one policy, program or service per row.</w:t>
      </w:r>
    </w:p>
    <w:p w14:paraId="45BB6E6E" w14:textId="77777777" w:rsidR="0067124C" w:rsidRPr="00C82639" w:rsidRDefault="0067124C" w:rsidP="00F538C8">
      <w:pPr>
        <w:pStyle w:val="Bullet1"/>
      </w:pPr>
      <w:r>
        <w:t>You must fill in all required elements to be compliant with your obligations under the Act.</w:t>
      </w:r>
    </w:p>
    <w:p w14:paraId="302E7498" w14:textId="77777777" w:rsidR="00A93B4F" w:rsidRPr="00895915" w:rsidRDefault="00A93B4F" w:rsidP="00A93B4F">
      <w:pPr>
        <w:pStyle w:val="Heading3"/>
      </w:pPr>
      <w:r>
        <w:t>Instructions for completing the template</w:t>
      </w:r>
    </w:p>
    <w:tbl>
      <w:tblPr>
        <w:tblStyle w:val="TableGrid"/>
        <w:tblW w:w="9209" w:type="dxa"/>
        <w:tblLook w:val="04A0" w:firstRow="1" w:lastRow="0" w:firstColumn="1" w:lastColumn="0" w:noHBand="0" w:noVBand="1"/>
      </w:tblPr>
      <w:tblGrid>
        <w:gridCol w:w="1980"/>
        <w:gridCol w:w="7229"/>
      </w:tblGrid>
      <w:tr w:rsidR="0067124C" w:rsidRPr="008F0A02" w14:paraId="086F9AAF" w14:textId="77777777" w:rsidTr="00F538C8">
        <w:trPr>
          <w:tblHeader/>
        </w:trPr>
        <w:tc>
          <w:tcPr>
            <w:tcW w:w="1980" w:type="dxa"/>
            <w:shd w:val="clear" w:color="auto" w:fill="5C308D"/>
          </w:tcPr>
          <w:p w14:paraId="535BE2D5" w14:textId="77777777" w:rsidR="0067124C" w:rsidRPr="009E4CF0" w:rsidRDefault="0067124C" w:rsidP="007F6E03">
            <w:pPr>
              <w:pStyle w:val="Body"/>
              <w:rPr>
                <w:b/>
                <w:bCs/>
                <w:color w:val="FFFFFF" w:themeColor="background1"/>
              </w:rPr>
            </w:pPr>
            <w:r w:rsidRPr="009E4CF0">
              <w:rPr>
                <w:b/>
                <w:bCs/>
                <w:color w:val="FFFFFF" w:themeColor="background1"/>
              </w:rPr>
              <w:t>Component</w:t>
            </w:r>
          </w:p>
        </w:tc>
        <w:tc>
          <w:tcPr>
            <w:tcW w:w="7229" w:type="dxa"/>
            <w:shd w:val="clear" w:color="auto" w:fill="5C308D"/>
          </w:tcPr>
          <w:p w14:paraId="0719EB96" w14:textId="77777777" w:rsidR="0067124C" w:rsidRPr="009E4CF0" w:rsidRDefault="0067124C" w:rsidP="007F6E03">
            <w:pPr>
              <w:pStyle w:val="Body"/>
              <w:rPr>
                <w:b/>
                <w:bCs/>
                <w:color w:val="FFFFFF" w:themeColor="background1"/>
              </w:rPr>
            </w:pPr>
            <w:r w:rsidRPr="009E4CF0">
              <w:rPr>
                <w:b/>
                <w:bCs/>
                <w:color w:val="FFFFFF" w:themeColor="background1"/>
              </w:rPr>
              <w:t>Description</w:t>
            </w:r>
          </w:p>
        </w:tc>
      </w:tr>
      <w:tr w:rsidR="0067124C" w:rsidRPr="008F0A02" w14:paraId="7D1821B0" w14:textId="77777777" w:rsidTr="007F6E03">
        <w:tc>
          <w:tcPr>
            <w:tcW w:w="1980" w:type="dxa"/>
          </w:tcPr>
          <w:p w14:paraId="3C8DE019" w14:textId="77777777" w:rsidR="0067124C" w:rsidRPr="006C28BF" w:rsidRDefault="0067124C" w:rsidP="007F6E03">
            <w:pPr>
              <w:pStyle w:val="Body"/>
            </w:pPr>
            <w:r>
              <w:t>Reference number (‘ref #’) (pre-filled)</w:t>
            </w:r>
          </w:p>
        </w:tc>
        <w:tc>
          <w:tcPr>
            <w:tcW w:w="7229" w:type="dxa"/>
          </w:tcPr>
          <w:p w14:paraId="29DB0596" w14:textId="77777777" w:rsidR="0067124C" w:rsidRDefault="0067124C" w:rsidP="007F6E03">
            <w:pPr>
              <w:pStyle w:val="Body"/>
            </w:pPr>
            <w:r>
              <w:t xml:space="preserve">This is prefilled in the template. </w:t>
            </w:r>
          </w:p>
          <w:p w14:paraId="5272118D" w14:textId="77777777" w:rsidR="0067124C" w:rsidRDefault="0067124C" w:rsidP="007F6E03">
            <w:pPr>
              <w:pStyle w:val="Body"/>
            </w:pPr>
            <w:r>
              <w:t>You will need the reference number to provide further information against each policy, program or service in the next table under (G) (</w:t>
            </w:r>
            <w:r>
              <w:rPr>
                <w:highlight w:val="lightGray"/>
              </w:rPr>
              <w:t>1</w:t>
            </w:r>
            <w:r w:rsidRPr="0094328F">
              <w:rPr>
                <w:highlight w:val="lightGray"/>
              </w:rPr>
              <w:t xml:space="preserve">.3 Describing actions taken </w:t>
            </w:r>
            <w:proofErr w:type="gramStart"/>
            <w:r w:rsidRPr="0094328F">
              <w:rPr>
                <w:highlight w:val="lightGray"/>
              </w:rPr>
              <w:t>as a result of</w:t>
            </w:r>
            <w:proofErr w:type="gramEnd"/>
            <w:r w:rsidRPr="0094328F">
              <w:rPr>
                <w:highlight w:val="lightGray"/>
              </w:rPr>
              <w:t xml:space="preserve"> GIA</w:t>
            </w:r>
            <w:r>
              <w:t>).</w:t>
            </w:r>
          </w:p>
        </w:tc>
      </w:tr>
      <w:tr w:rsidR="0067124C" w:rsidRPr="008F0A02" w14:paraId="3E0A5B49" w14:textId="77777777" w:rsidTr="007F6E03">
        <w:tc>
          <w:tcPr>
            <w:tcW w:w="1980" w:type="dxa"/>
          </w:tcPr>
          <w:p w14:paraId="21D16A7B" w14:textId="77777777" w:rsidR="0067124C" w:rsidRPr="006574DB" w:rsidRDefault="0067124C" w:rsidP="007F6E03">
            <w:pPr>
              <w:pStyle w:val="Body"/>
              <w:rPr>
                <w:b/>
                <w:bCs/>
              </w:rPr>
            </w:pPr>
            <w:r>
              <w:t xml:space="preserve">(A) </w:t>
            </w:r>
            <w:r w:rsidRPr="006C28BF">
              <w:t>Title</w:t>
            </w:r>
            <w:r>
              <w:rPr>
                <w:b/>
                <w:bCs/>
              </w:rPr>
              <w:t xml:space="preserve"> (required)</w:t>
            </w:r>
          </w:p>
          <w:p w14:paraId="79EEA8CD" w14:textId="77777777" w:rsidR="0067124C" w:rsidRPr="006C28BF" w:rsidRDefault="0067124C" w:rsidP="007F6E03">
            <w:pPr>
              <w:pStyle w:val="Body"/>
            </w:pPr>
          </w:p>
        </w:tc>
        <w:tc>
          <w:tcPr>
            <w:tcW w:w="7229" w:type="dxa"/>
          </w:tcPr>
          <w:p w14:paraId="53CEC28C" w14:textId="77777777" w:rsidR="0067124C" w:rsidRDefault="0067124C" w:rsidP="007F6E03">
            <w:pPr>
              <w:pStyle w:val="Body"/>
            </w:pPr>
            <w:r>
              <w:t>Insert the name of the relevant policy, program or service that was the subject of the GIA.</w:t>
            </w:r>
          </w:p>
        </w:tc>
      </w:tr>
      <w:tr w:rsidR="0067124C" w:rsidRPr="00373C25" w14:paraId="52782D00" w14:textId="77777777" w:rsidTr="007F6E03">
        <w:tc>
          <w:tcPr>
            <w:tcW w:w="1980" w:type="dxa"/>
          </w:tcPr>
          <w:p w14:paraId="2E5CE4F9" w14:textId="77777777" w:rsidR="0067124C" w:rsidRDefault="0067124C" w:rsidP="007F6E03">
            <w:pPr>
              <w:pStyle w:val="Body"/>
              <w:rPr>
                <w:b/>
                <w:bCs/>
              </w:rPr>
            </w:pPr>
            <w:r>
              <w:t xml:space="preserve">(B) </w:t>
            </w:r>
            <w:r w:rsidRPr="006C28BF">
              <w:t>Subject</w:t>
            </w:r>
            <w:r>
              <w:rPr>
                <w:b/>
                <w:bCs/>
              </w:rPr>
              <w:t xml:space="preserve"> (required)</w:t>
            </w:r>
          </w:p>
          <w:p w14:paraId="3CC8FC0C" w14:textId="77777777" w:rsidR="0067124C" w:rsidRPr="008F0A02" w:rsidRDefault="0067124C" w:rsidP="007F6E03">
            <w:pPr>
              <w:pStyle w:val="Body"/>
            </w:pPr>
          </w:p>
        </w:tc>
        <w:tc>
          <w:tcPr>
            <w:tcW w:w="7229" w:type="dxa"/>
          </w:tcPr>
          <w:p w14:paraId="057A3F2A" w14:textId="77777777" w:rsidR="0067124C" w:rsidRDefault="0067124C" w:rsidP="007F6E03">
            <w:pPr>
              <w:pStyle w:val="Body"/>
            </w:pPr>
            <w:r>
              <w:t>Select from the drop-down if the</w:t>
            </w:r>
            <w:r w:rsidRPr="006574DB">
              <w:t xml:space="preserve"> GIA was done on a policy, program or service</w:t>
            </w:r>
            <w:r>
              <w:t xml:space="preserve">. </w:t>
            </w:r>
          </w:p>
          <w:p w14:paraId="3DD5E9D4" w14:textId="77777777" w:rsidR="0067124C" w:rsidRPr="00373C25" w:rsidRDefault="0067124C" w:rsidP="007F6E03">
            <w:pPr>
              <w:pStyle w:val="Body"/>
            </w:pPr>
            <w:r>
              <w:t xml:space="preserve">Find definitions of </w:t>
            </w:r>
            <w:hyperlink w:anchor="_Policies,_programs_and" w:history="1">
              <w:r w:rsidRPr="00566F9F">
                <w:rPr>
                  <w:rStyle w:val="Hyperlink"/>
                </w:rPr>
                <w:t>policies, programs and services</w:t>
              </w:r>
            </w:hyperlink>
            <w:r>
              <w:t xml:space="preserve"> in our glossary of terms.</w:t>
            </w:r>
          </w:p>
        </w:tc>
      </w:tr>
      <w:tr w:rsidR="0067124C" w:rsidRPr="00C94940" w14:paraId="008BE44A" w14:textId="77777777" w:rsidTr="007F6E03">
        <w:trPr>
          <w:trHeight w:val="860"/>
        </w:trPr>
        <w:tc>
          <w:tcPr>
            <w:tcW w:w="1980" w:type="dxa"/>
          </w:tcPr>
          <w:p w14:paraId="676341AC" w14:textId="77777777" w:rsidR="0067124C" w:rsidRPr="008F0A02" w:rsidRDefault="0067124C" w:rsidP="007F6E03">
            <w:pPr>
              <w:pStyle w:val="Body"/>
            </w:pPr>
            <w:r>
              <w:t xml:space="preserve">(C) </w:t>
            </w:r>
            <w:r w:rsidRPr="006C28BF">
              <w:t xml:space="preserve">Description of the policy, program </w:t>
            </w:r>
            <w:r>
              <w:t>or</w:t>
            </w:r>
            <w:r w:rsidRPr="006C28BF">
              <w:t xml:space="preserve"> service</w:t>
            </w:r>
            <w:r>
              <w:rPr>
                <w:b/>
                <w:bCs/>
              </w:rPr>
              <w:t xml:space="preserve"> (required)</w:t>
            </w:r>
          </w:p>
        </w:tc>
        <w:tc>
          <w:tcPr>
            <w:tcW w:w="7229" w:type="dxa"/>
          </w:tcPr>
          <w:p w14:paraId="65DB5A2B" w14:textId="77777777" w:rsidR="0067124C" w:rsidRDefault="0067124C" w:rsidP="007F6E03">
            <w:pPr>
              <w:pStyle w:val="Body"/>
            </w:pPr>
            <w:r>
              <w:t>Provide a</w:t>
            </w:r>
            <w:r w:rsidRPr="000F11D7">
              <w:t xml:space="preserve"> brief </w:t>
            </w:r>
            <w:r>
              <w:t xml:space="preserve">and clear </w:t>
            </w:r>
            <w:r w:rsidRPr="000F11D7">
              <w:t>description of the policy, program</w:t>
            </w:r>
            <w:r>
              <w:t xml:space="preserve"> or </w:t>
            </w:r>
            <w:r w:rsidRPr="000F11D7">
              <w:t>service</w:t>
            </w:r>
            <w:r w:rsidRPr="00F02EC6">
              <w:t>.</w:t>
            </w:r>
            <w:r>
              <w:t xml:space="preserve"> </w:t>
            </w:r>
          </w:p>
          <w:p w14:paraId="631039F2" w14:textId="6F6B1562" w:rsidR="0067124C" w:rsidRPr="00C94940" w:rsidRDefault="0067124C" w:rsidP="007F6E03">
            <w:pPr>
              <w:pStyle w:val="Body"/>
            </w:pPr>
            <w:r>
              <w:t>You should provide enough detail here for the</w:t>
            </w:r>
            <w:r w:rsidRPr="00C94940">
              <w:t xml:space="preserve"> Commission</w:t>
            </w:r>
            <w:r>
              <w:t>er</w:t>
            </w:r>
            <w:r w:rsidRPr="00C94940">
              <w:t xml:space="preserve"> to understand the context of the </w:t>
            </w:r>
            <w:r>
              <w:t>policy, program or service</w:t>
            </w:r>
            <w:r w:rsidRPr="00C94940">
              <w:t xml:space="preserve">. </w:t>
            </w:r>
          </w:p>
        </w:tc>
      </w:tr>
      <w:tr w:rsidR="0067124C" w:rsidRPr="0063653D" w14:paraId="35A51DCC" w14:textId="77777777" w:rsidTr="007F6E03">
        <w:tc>
          <w:tcPr>
            <w:tcW w:w="1980" w:type="dxa"/>
          </w:tcPr>
          <w:p w14:paraId="11C1A987" w14:textId="77777777" w:rsidR="0067124C" w:rsidRDefault="0067124C" w:rsidP="007F6E03">
            <w:pPr>
              <w:pStyle w:val="Body"/>
              <w:rPr>
                <w:b/>
                <w:bCs/>
              </w:rPr>
            </w:pPr>
            <w:r>
              <w:t xml:space="preserve">(D) </w:t>
            </w:r>
            <w:r w:rsidRPr="006C28BF">
              <w:t>Status</w:t>
            </w:r>
            <w:r>
              <w:rPr>
                <w:b/>
                <w:bCs/>
              </w:rPr>
              <w:t xml:space="preserve"> (required)</w:t>
            </w:r>
          </w:p>
          <w:p w14:paraId="4D914DD3" w14:textId="77777777" w:rsidR="0067124C" w:rsidRPr="008F0A02" w:rsidRDefault="0067124C" w:rsidP="007F6E03">
            <w:pPr>
              <w:pStyle w:val="Body"/>
            </w:pPr>
          </w:p>
        </w:tc>
        <w:tc>
          <w:tcPr>
            <w:tcW w:w="7229" w:type="dxa"/>
          </w:tcPr>
          <w:p w14:paraId="5A637C51" w14:textId="04C35326" w:rsidR="0067124C" w:rsidRPr="0063653D" w:rsidRDefault="0067124C" w:rsidP="007F6E03">
            <w:pPr>
              <w:pStyle w:val="Bullet1"/>
              <w:numPr>
                <w:ilvl w:val="0"/>
                <w:numId w:val="0"/>
              </w:numPr>
            </w:pPr>
            <w:r>
              <w:t xml:space="preserve">Select from the </w:t>
            </w:r>
            <w:r w:rsidRPr="00F538C8">
              <w:t>drop-down</w:t>
            </w:r>
            <w:r>
              <w:t xml:space="preserve"> </w:t>
            </w:r>
            <w:r w:rsidR="00A93B4F">
              <w:t xml:space="preserve">menu </w:t>
            </w:r>
            <w:r>
              <w:t xml:space="preserve">to indicate if the </w:t>
            </w:r>
            <w:r w:rsidRPr="0063653D">
              <w:t>GIA</w:t>
            </w:r>
            <w:r>
              <w:t xml:space="preserve"> was done</w:t>
            </w:r>
            <w:r w:rsidRPr="0063653D">
              <w:t xml:space="preserve"> </w:t>
            </w:r>
            <w:r>
              <w:t xml:space="preserve">on a policy, program or service that was </w:t>
            </w:r>
            <w:r>
              <w:rPr>
                <w:b/>
                <w:bCs/>
              </w:rPr>
              <w:t xml:space="preserve">new </w:t>
            </w:r>
            <w:r>
              <w:t xml:space="preserve">or </w:t>
            </w:r>
            <w:r w:rsidRPr="00AD3A83">
              <w:rPr>
                <w:b/>
                <w:bCs/>
              </w:rPr>
              <w:t>up for review</w:t>
            </w:r>
            <w:r>
              <w:rPr>
                <w:b/>
                <w:bCs/>
              </w:rPr>
              <w:t>.</w:t>
            </w:r>
            <w:r>
              <w:t xml:space="preserve"> </w:t>
            </w:r>
          </w:p>
        </w:tc>
      </w:tr>
      <w:tr w:rsidR="0067124C" w:rsidRPr="001317C7" w14:paraId="3D01DA35" w14:textId="77777777" w:rsidTr="007F6E03">
        <w:tc>
          <w:tcPr>
            <w:tcW w:w="1980" w:type="dxa"/>
          </w:tcPr>
          <w:p w14:paraId="1A74E3F1" w14:textId="77777777" w:rsidR="0067124C" w:rsidRDefault="0067124C" w:rsidP="007F6E03">
            <w:pPr>
              <w:pStyle w:val="Body"/>
              <w:rPr>
                <w:b/>
                <w:bCs/>
              </w:rPr>
            </w:pPr>
            <w:r>
              <w:t>(E) Description of gendered impacts</w:t>
            </w:r>
            <w:r>
              <w:rPr>
                <w:b/>
                <w:bCs/>
              </w:rPr>
              <w:t xml:space="preserve"> (recommended)</w:t>
            </w:r>
          </w:p>
          <w:p w14:paraId="11595D4F" w14:textId="77777777" w:rsidR="0067124C" w:rsidRPr="008F0A02" w:rsidRDefault="0067124C" w:rsidP="007F6E03">
            <w:pPr>
              <w:pStyle w:val="Body"/>
            </w:pPr>
          </w:p>
        </w:tc>
        <w:tc>
          <w:tcPr>
            <w:tcW w:w="7229" w:type="dxa"/>
          </w:tcPr>
          <w:p w14:paraId="2C5D617D" w14:textId="77777777" w:rsidR="0067124C" w:rsidRDefault="0067124C" w:rsidP="007F6E03">
            <w:pPr>
              <w:pStyle w:val="Body"/>
            </w:pPr>
            <w:r>
              <w:t xml:space="preserve">Describe the gendered impacts you identified when completing a GIA on this policy, program or service. </w:t>
            </w:r>
          </w:p>
          <w:p w14:paraId="1571BE52" w14:textId="77777777" w:rsidR="0067124C" w:rsidRDefault="0067124C" w:rsidP="007F6E03">
            <w:pPr>
              <w:pStyle w:val="Body"/>
            </w:pPr>
            <w:r w:rsidRPr="00C068EA">
              <w:t>Gender</w:t>
            </w:r>
            <w:r>
              <w:t>ed</w:t>
            </w:r>
            <w:r w:rsidRPr="00C068EA">
              <w:t xml:space="preserve"> impacts are the areas where a GIA revealed that people of different genders might be impacted in different ways. These insights may have shown you where and how the </w:t>
            </w:r>
            <w:r>
              <w:t>policy, program or service</w:t>
            </w:r>
            <w:r w:rsidRPr="00C068EA">
              <w:t xml:space="preserve"> needed to be changed.</w:t>
            </w:r>
            <w:r>
              <w:t xml:space="preserve"> </w:t>
            </w:r>
          </w:p>
          <w:p w14:paraId="6E54E73D" w14:textId="77777777" w:rsidR="00A93B4F" w:rsidRDefault="0067124C" w:rsidP="007F6E03">
            <w:pPr>
              <w:pStyle w:val="Body"/>
            </w:pPr>
            <w:r>
              <w:t xml:space="preserve">Completing this column will assist you to complete section </w:t>
            </w:r>
            <w:r w:rsidRPr="0079320B">
              <w:rPr>
                <w:highlight w:val="lightGray"/>
              </w:rPr>
              <w:t>1.3</w:t>
            </w:r>
            <w:r>
              <w:t xml:space="preserve"> </w:t>
            </w:r>
            <w:r w:rsidRPr="00B00B95">
              <w:rPr>
                <w:highlight w:val="lightGray"/>
              </w:rPr>
              <w:t xml:space="preserve">describe the actions taken </w:t>
            </w:r>
            <w:proofErr w:type="gramStart"/>
            <w:r w:rsidRPr="00B00B95">
              <w:rPr>
                <w:highlight w:val="lightGray"/>
              </w:rPr>
              <w:t>as a result of</w:t>
            </w:r>
            <w:proofErr w:type="gramEnd"/>
            <w:r w:rsidRPr="00B00B95">
              <w:rPr>
                <w:highlight w:val="lightGray"/>
              </w:rPr>
              <w:t xml:space="preserve"> the GIA</w:t>
            </w:r>
            <w:r>
              <w:rPr>
                <w:highlight w:val="lightGray"/>
              </w:rPr>
              <w:t xml:space="preserve"> (</w:t>
            </w:r>
            <w:r w:rsidRPr="00B00B95">
              <w:rPr>
                <w:highlight w:val="lightGray"/>
              </w:rPr>
              <w:t>under</w:t>
            </w:r>
            <w:r>
              <w:rPr>
                <w:highlight w:val="lightGray"/>
              </w:rPr>
              <w:t xml:space="preserve"> (G)</w:t>
            </w:r>
            <w:r>
              <w:t xml:space="preserve">). </w:t>
            </w:r>
          </w:p>
          <w:p w14:paraId="479F1553" w14:textId="6A4BFA32" w:rsidR="0067124C" w:rsidRPr="00B00B95" w:rsidRDefault="0067124C" w:rsidP="007F6E03">
            <w:pPr>
              <w:pStyle w:val="Body"/>
            </w:pPr>
            <w:r>
              <w:t xml:space="preserve">Any actions taken </w:t>
            </w:r>
            <w:proofErr w:type="gramStart"/>
            <w:r>
              <w:t>as a result of</w:t>
            </w:r>
            <w:proofErr w:type="gramEnd"/>
            <w:r>
              <w:t xml:space="preserve"> your GIA should link directly to the gendered impacts you describe here.</w:t>
            </w:r>
          </w:p>
        </w:tc>
      </w:tr>
    </w:tbl>
    <w:p w14:paraId="72B8ECCB" w14:textId="77777777" w:rsidR="0067124C" w:rsidRDefault="0067124C" w:rsidP="0067124C">
      <w:pPr>
        <w:pStyle w:val="Heading2"/>
      </w:pPr>
      <w:r>
        <w:t xml:space="preserve">1.3 Describing actions taken </w:t>
      </w:r>
      <w:proofErr w:type="gramStart"/>
      <w:r>
        <w:t>as a result of</w:t>
      </w:r>
      <w:proofErr w:type="gramEnd"/>
      <w:r>
        <w:t xml:space="preserve"> a GIA</w:t>
      </w:r>
    </w:p>
    <w:p w14:paraId="3B611524" w14:textId="77777777" w:rsidR="0067124C" w:rsidRPr="00A93B4F" w:rsidRDefault="0067124C" w:rsidP="00F538C8">
      <w:pPr>
        <w:pStyle w:val="Heading3"/>
      </w:pPr>
      <w:r>
        <w:t>Summary</w:t>
      </w:r>
    </w:p>
    <w:p w14:paraId="1674E76A" w14:textId="77777777" w:rsidR="0067124C" w:rsidRPr="00A93B4F" w:rsidRDefault="0067124C" w:rsidP="00F538C8">
      <w:pPr>
        <w:pStyle w:val="Bullet1"/>
      </w:pPr>
      <w:r w:rsidRPr="00A93B4F">
        <w:t xml:space="preserve">Describe the actions taken </w:t>
      </w:r>
      <w:proofErr w:type="gramStart"/>
      <w:r w:rsidRPr="00A93B4F">
        <w:t>as a result of</w:t>
      </w:r>
      <w:proofErr w:type="gramEnd"/>
      <w:r w:rsidRPr="00A93B4F">
        <w:t xml:space="preserve"> undertaking a GIA.</w:t>
      </w:r>
    </w:p>
    <w:p w14:paraId="1DDE7F1D" w14:textId="77777777" w:rsidR="0067124C" w:rsidRPr="00A93B4F" w:rsidRDefault="0067124C" w:rsidP="00F538C8">
      <w:pPr>
        <w:pStyle w:val="Bullet1"/>
      </w:pPr>
      <w:r w:rsidRPr="00A93B4F">
        <w:t>Use the reference number (‘ref #’) from table 1 to link your GIA description to the relevant policy, program or service.</w:t>
      </w:r>
    </w:p>
    <w:p w14:paraId="7BBF3873" w14:textId="77777777" w:rsidR="0067124C" w:rsidRPr="00A93B4F" w:rsidRDefault="0067124C" w:rsidP="00F538C8">
      <w:pPr>
        <w:pStyle w:val="Bullet1"/>
      </w:pPr>
      <w:r w:rsidRPr="00A93B4F">
        <w:t>Add more rows as needed.</w:t>
      </w:r>
    </w:p>
    <w:p w14:paraId="5580CB14" w14:textId="77777777" w:rsidR="00A93B4F" w:rsidRPr="00895915" w:rsidRDefault="00A93B4F" w:rsidP="00A93B4F">
      <w:pPr>
        <w:pStyle w:val="Heading3"/>
      </w:pPr>
      <w:r>
        <w:t>Instructions for completing the template</w:t>
      </w:r>
    </w:p>
    <w:tbl>
      <w:tblPr>
        <w:tblStyle w:val="TableGrid"/>
        <w:tblW w:w="9209" w:type="dxa"/>
        <w:tblLook w:val="04A0" w:firstRow="1" w:lastRow="0" w:firstColumn="1" w:lastColumn="0" w:noHBand="0" w:noVBand="1"/>
      </w:tblPr>
      <w:tblGrid>
        <w:gridCol w:w="1980"/>
        <w:gridCol w:w="7229"/>
      </w:tblGrid>
      <w:tr w:rsidR="0067124C" w:rsidRPr="008F0A02" w14:paraId="1B8606E3" w14:textId="77777777" w:rsidTr="00F538C8">
        <w:trPr>
          <w:tblHeader/>
        </w:trPr>
        <w:tc>
          <w:tcPr>
            <w:tcW w:w="1980" w:type="dxa"/>
            <w:shd w:val="clear" w:color="auto" w:fill="5C308D"/>
          </w:tcPr>
          <w:p w14:paraId="20ABF849" w14:textId="77777777" w:rsidR="0067124C" w:rsidRPr="00401E16" w:rsidRDefault="0067124C" w:rsidP="007F6E03">
            <w:pPr>
              <w:pStyle w:val="Body"/>
              <w:rPr>
                <w:rFonts w:cstheme="minorHAnsi"/>
              </w:rPr>
            </w:pPr>
            <w:r w:rsidRPr="009E4CF0">
              <w:rPr>
                <w:b/>
                <w:bCs/>
                <w:color w:val="FFFFFF" w:themeColor="background1"/>
              </w:rPr>
              <w:t>Component</w:t>
            </w:r>
          </w:p>
        </w:tc>
        <w:tc>
          <w:tcPr>
            <w:tcW w:w="7229" w:type="dxa"/>
            <w:shd w:val="clear" w:color="auto" w:fill="5C308D"/>
          </w:tcPr>
          <w:p w14:paraId="0060C584" w14:textId="77777777" w:rsidR="0067124C" w:rsidRPr="008A42FB" w:rsidRDefault="0067124C" w:rsidP="007F6E03">
            <w:pPr>
              <w:pStyle w:val="Body"/>
            </w:pPr>
            <w:r w:rsidRPr="009E4CF0">
              <w:rPr>
                <w:b/>
                <w:bCs/>
                <w:color w:val="FFFFFF" w:themeColor="background1"/>
              </w:rPr>
              <w:t>Description</w:t>
            </w:r>
          </w:p>
        </w:tc>
      </w:tr>
      <w:tr w:rsidR="0067124C" w:rsidRPr="008F0A02" w14:paraId="0E4421FE" w14:textId="77777777" w:rsidTr="007F6E03">
        <w:tc>
          <w:tcPr>
            <w:tcW w:w="1980" w:type="dxa"/>
          </w:tcPr>
          <w:p w14:paraId="7FC2F333" w14:textId="77777777" w:rsidR="0067124C" w:rsidRPr="00FD110A" w:rsidRDefault="0067124C" w:rsidP="007F6E03">
            <w:pPr>
              <w:pStyle w:val="Body"/>
              <w:rPr>
                <w:rFonts w:cstheme="minorHAnsi"/>
              </w:rPr>
            </w:pPr>
            <w:r>
              <w:t>Reference number (ref #)</w:t>
            </w:r>
          </w:p>
        </w:tc>
        <w:tc>
          <w:tcPr>
            <w:tcW w:w="7229" w:type="dxa"/>
          </w:tcPr>
          <w:p w14:paraId="74F8F7B7" w14:textId="77777777" w:rsidR="0067124C" w:rsidRPr="0094328F" w:rsidRDefault="0067124C" w:rsidP="007F6E03">
            <w:pPr>
              <w:pStyle w:val="Body"/>
            </w:pPr>
            <w:r>
              <w:t xml:space="preserve">This is prefilled in the template. The reference number refers to the listed policy, program or service in the previous table under (A) of </w:t>
            </w:r>
            <w:r w:rsidRPr="0094328F">
              <w:rPr>
                <w:highlight w:val="lightGray"/>
              </w:rPr>
              <w:t>1.2 Describing policies, programs and services subject to GIA</w:t>
            </w:r>
            <w:r>
              <w:t>.</w:t>
            </w:r>
          </w:p>
        </w:tc>
      </w:tr>
      <w:tr w:rsidR="0067124C" w:rsidRPr="008F0A02" w14:paraId="02231F00" w14:textId="77777777" w:rsidTr="007F6E03">
        <w:tc>
          <w:tcPr>
            <w:tcW w:w="1980" w:type="dxa"/>
          </w:tcPr>
          <w:p w14:paraId="66D8C026" w14:textId="77777777" w:rsidR="0067124C" w:rsidRPr="00401E16" w:rsidRDefault="0067124C" w:rsidP="007F6E03">
            <w:pPr>
              <w:pStyle w:val="Body"/>
              <w:rPr>
                <w:rFonts w:cstheme="minorHAnsi"/>
              </w:rPr>
            </w:pPr>
            <w:r>
              <w:rPr>
                <w:rFonts w:cstheme="minorHAnsi"/>
              </w:rPr>
              <w:t xml:space="preserve">(F) </w:t>
            </w:r>
            <w:r w:rsidRPr="00401E16">
              <w:rPr>
                <w:rFonts w:cstheme="minorHAnsi"/>
              </w:rPr>
              <w:t xml:space="preserve">Were actions taken </w:t>
            </w:r>
            <w:proofErr w:type="gramStart"/>
            <w:r w:rsidRPr="00401E16">
              <w:rPr>
                <w:rFonts w:cstheme="minorHAnsi"/>
              </w:rPr>
              <w:t>as a result of</w:t>
            </w:r>
            <w:proofErr w:type="gramEnd"/>
            <w:r w:rsidRPr="00401E16">
              <w:rPr>
                <w:rFonts w:cstheme="minorHAnsi"/>
              </w:rPr>
              <w:t xml:space="preserve"> the GIA?</w:t>
            </w:r>
            <w:r>
              <w:rPr>
                <w:rFonts w:cstheme="minorHAnsi"/>
                <w:b/>
                <w:bCs/>
              </w:rPr>
              <w:t xml:space="preserve"> (required)</w:t>
            </w:r>
          </w:p>
        </w:tc>
        <w:tc>
          <w:tcPr>
            <w:tcW w:w="7229" w:type="dxa"/>
          </w:tcPr>
          <w:p w14:paraId="24505875" w14:textId="77777777" w:rsidR="0067124C" w:rsidRDefault="0067124C" w:rsidP="00F538C8">
            <w:pPr>
              <w:pStyle w:val="Bullet1"/>
            </w:pPr>
            <w:r>
              <w:t xml:space="preserve">Select ‘yes’ or ‘no’ from the drop-down to indicate whether you </w:t>
            </w:r>
            <w:proofErr w:type="gramStart"/>
            <w:r>
              <w:t>took action</w:t>
            </w:r>
            <w:proofErr w:type="gramEnd"/>
            <w:r>
              <w:t xml:space="preserve"> (or not) as a result of the GIA.</w:t>
            </w:r>
          </w:p>
          <w:p w14:paraId="395E5480" w14:textId="77777777" w:rsidR="0067124C" w:rsidRDefault="0067124C" w:rsidP="00F538C8">
            <w:pPr>
              <w:pStyle w:val="Bullet1"/>
            </w:pPr>
            <w:r>
              <w:t>Do this for every policy, program or service you listed.</w:t>
            </w:r>
          </w:p>
          <w:p w14:paraId="72DC7DBA" w14:textId="77777777" w:rsidR="0067124C" w:rsidRPr="00241A05" w:rsidRDefault="0067124C" w:rsidP="00F538C8">
            <w:pPr>
              <w:pStyle w:val="Bodyafterbullets"/>
            </w:pPr>
            <w:r w:rsidRPr="00C662C4">
              <w:t xml:space="preserve">If </w:t>
            </w:r>
            <w:r w:rsidRPr="00241A05">
              <w:t xml:space="preserve">actions </w:t>
            </w:r>
            <w:r>
              <w:t>were</w:t>
            </w:r>
            <w:r w:rsidRPr="00241A05">
              <w:t xml:space="preserve"> taken, </w:t>
            </w:r>
            <w:r w:rsidRPr="00A93B4F">
              <w:t>select</w:t>
            </w:r>
            <w:r w:rsidRPr="00241A05">
              <w:t xml:space="preserve"> ‘yes’.</w:t>
            </w:r>
            <w:r>
              <w:t xml:space="preserve"> </w:t>
            </w:r>
            <w:r w:rsidRPr="00241A05">
              <w:t xml:space="preserve">There may be cases where several recommendations were made but not all actions were approved. In this case you should still select ‘yes’ if some actions </w:t>
            </w:r>
            <w:r>
              <w:t>were</w:t>
            </w:r>
            <w:r w:rsidRPr="00241A05">
              <w:t xml:space="preserve"> approved.</w:t>
            </w:r>
          </w:p>
          <w:p w14:paraId="0FD03080" w14:textId="77777777" w:rsidR="0067124C" w:rsidRDefault="0067124C" w:rsidP="007F6E03">
            <w:pPr>
              <w:pStyle w:val="Body"/>
            </w:pPr>
            <w:r w:rsidRPr="00241A05">
              <w:t xml:space="preserve">If </w:t>
            </w:r>
            <w:r>
              <w:t>actions weren’t taken:</w:t>
            </w:r>
          </w:p>
          <w:p w14:paraId="40E14F94" w14:textId="77777777" w:rsidR="0067124C" w:rsidRDefault="0067124C" w:rsidP="007F6E03">
            <w:pPr>
              <w:pStyle w:val="Bullet1"/>
            </w:pPr>
            <w:r w:rsidRPr="00241A05">
              <w:t>select ‘no’</w:t>
            </w:r>
          </w:p>
          <w:p w14:paraId="1EB6B9A2" w14:textId="77777777" w:rsidR="0067124C" w:rsidRDefault="0067124C" w:rsidP="007F6E03">
            <w:pPr>
              <w:pStyle w:val="Bullet1"/>
            </w:pPr>
            <w:r>
              <w:t>write N/A in</w:t>
            </w:r>
            <w:r w:rsidRPr="00241A05">
              <w:t xml:space="preserve"> </w:t>
            </w:r>
            <w:r>
              <w:t>the next column (under (G))</w:t>
            </w:r>
          </w:p>
          <w:p w14:paraId="62FC3FA9" w14:textId="77777777" w:rsidR="0067124C" w:rsidRPr="008A42FB" w:rsidRDefault="0067124C" w:rsidP="007F6E03">
            <w:pPr>
              <w:pStyle w:val="Bullet1"/>
            </w:pPr>
            <w:r>
              <w:t xml:space="preserve">explain why no actions were taken in the column after that (under (H)) </w:t>
            </w:r>
          </w:p>
        </w:tc>
      </w:tr>
      <w:tr w:rsidR="0067124C" w:rsidRPr="008F0A02" w14:paraId="3A2DD51E" w14:textId="77777777" w:rsidTr="007F6E03">
        <w:tc>
          <w:tcPr>
            <w:tcW w:w="1980" w:type="dxa"/>
          </w:tcPr>
          <w:p w14:paraId="1868E5FF" w14:textId="77777777" w:rsidR="0067124C" w:rsidRDefault="0067124C" w:rsidP="00F538C8">
            <w:pPr>
              <w:pStyle w:val="Body"/>
              <w:rPr>
                <w:highlight w:val="lightGray"/>
              </w:rPr>
            </w:pPr>
            <w:r>
              <w:rPr>
                <w:highlight w:val="lightGray"/>
              </w:rPr>
              <w:t xml:space="preserve">(G) </w:t>
            </w:r>
            <w:r w:rsidRPr="000966FE">
              <w:rPr>
                <w:highlight w:val="lightGray"/>
              </w:rPr>
              <w:t xml:space="preserve">Describe the actions taken </w:t>
            </w:r>
            <w:proofErr w:type="gramStart"/>
            <w:r w:rsidRPr="000966FE">
              <w:rPr>
                <w:highlight w:val="lightGray"/>
              </w:rPr>
              <w:t>as a result of</w:t>
            </w:r>
            <w:proofErr w:type="gramEnd"/>
            <w:r w:rsidRPr="000966FE">
              <w:rPr>
                <w:highlight w:val="lightGray"/>
              </w:rPr>
              <w:t xml:space="preserve"> the GIA</w:t>
            </w:r>
            <w:r>
              <w:rPr>
                <w:highlight w:val="lightGray"/>
              </w:rPr>
              <w:t xml:space="preserve"> in order to:</w:t>
            </w:r>
          </w:p>
          <w:p w14:paraId="0B4C1473" w14:textId="2D955F44" w:rsidR="0067124C" w:rsidRPr="00B82372" w:rsidRDefault="00A93B4F" w:rsidP="007F6E03">
            <w:pPr>
              <w:pStyle w:val="Bullet1"/>
            </w:pPr>
            <w:r>
              <w:t>m</w:t>
            </w:r>
            <w:r w:rsidRPr="00B82372">
              <w:t xml:space="preserve">eet </w:t>
            </w:r>
            <w:r w:rsidR="0067124C" w:rsidRPr="00B82372">
              <w:t>the needs of people of different genders</w:t>
            </w:r>
          </w:p>
          <w:p w14:paraId="00B93BB9" w14:textId="4EF6EFB9" w:rsidR="0067124C" w:rsidRPr="00B82372" w:rsidRDefault="00A93B4F" w:rsidP="007F6E03">
            <w:pPr>
              <w:pStyle w:val="Bullet1"/>
            </w:pPr>
            <w:r>
              <w:t>p</w:t>
            </w:r>
            <w:r w:rsidRPr="00B82372">
              <w:t xml:space="preserve">romote </w:t>
            </w:r>
            <w:r w:rsidR="0067124C" w:rsidRPr="00B82372">
              <w:t>gender equality</w:t>
            </w:r>
          </w:p>
          <w:p w14:paraId="5D34E7AB" w14:textId="72575C01" w:rsidR="0067124C" w:rsidRPr="00B82372" w:rsidRDefault="00A93B4F" w:rsidP="007F6E03">
            <w:pPr>
              <w:pStyle w:val="Bullet1"/>
            </w:pPr>
            <w:r>
              <w:t>a</w:t>
            </w:r>
            <w:r w:rsidRPr="00B82372">
              <w:t xml:space="preserve">ddress </w:t>
            </w:r>
            <w:r w:rsidR="0067124C" w:rsidRPr="00B82372">
              <w:t>gender inequality.</w:t>
            </w:r>
          </w:p>
          <w:p w14:paraId="51A8858E" w14:textId="77777777" w:rsidR="0067124C" w:rsidRDefault="0067124C" w:rsidP="007F6E03">
            <w:pPr>
              <w:rPr>
                <w:rFonts w:cstheme="minorHAnsi"/>
                <w:highlight w:val="lightGray"/>
              </w:rPr>
            </w:pPr>
          </w:p>
          <w:p w14:paraId="4918763F" w14:textId="3B2DE301" w:rsidR="0067124C" w:rsidRPr="001B092E" w:rsidRDefault="0067124C" w:rsidP="001B092E">
            <w:pPr>
              <w:pStyle w:val="Body"/>
              <w:rPr>
                <w:b/>
                <w:highlight w:val="lightGray"/>
              </w:rPr>
            </w:pPr>
            <w:r w:rsidRPr="001B092E">
              <w:rPr>
                <w:b/>
                <w:highlight w:val="lightGray"/>
              </w:rPr>
              <w:t xml:space="preserve">(required) </w:t>
            </w:r>
          </w:p>
          <w:p w14:paraId="4A7D2AAC" w14:textId="77777777" w:rsidR="0067124C" w:rsidRPr="007F1B18" w:rsidRDefault="0067124C" w:rsidP="007F6E03">
            <w:pPr>
              <w:pStyle w:val="Body"/>
              <w:rPr>
                <w:highlight w:val="yellow"/>
              </w:rPr>
            </w:pPr>
          </w:p>
        </w:tc>
        <w:tc>
          <w:tcPr>
            <w:tcW w:w="7229" w:type="dxa"/>
          </w:tcPr>
          <w:p w14:paraId="3EDAF5E1" w14:textId="77777777" w:rsidR="0067124C" w:rsidRDefault="0067124C" w:rsidP="00F538C8">
            <w:pPr>
              <w:pStyle w:val="Bullet1"/>
            </w:pPr>
            <w:r>
              <w:t xml:space="preserve">Describe how the actions taken </w:t>
            </w:r>
            <w:proofErr w:type="gramStart"/>
            <w:r>
              <w:t>as a result of</w:t>
            </w:r>
            <w:proofErr w:type="gramEnd"/>
            <w:r>
              <w:t xml:space="preserve"> the GIA:</w:t>
            </w:r>
          </w:p>
          <w:p w14:paraId="71179A11" w14:textId="77777777" w:rsidR="0067124C" w:rsidRPr="003D3DE3" w:rsidRDefault="0067124C" w:rsidP="00F538C8">
            <w:pPr>
              <w:pStyle w:val="Bullet2"/>
            </w:pPr>
            <w:r w:rsidRPr="003D3DE3">
              <w:t>Me</w:t>
            </w:r>
            <w:r>
              <w:t>t</w:t>
            </w:r>
            <w:r w:rsidRPr="003D3DE3">
              <w:t xml:space="preserve"> the needs of persons of different genders; and/or</w:t>
            </w:r>
          </w:p>
          <w:p w14:paraId="317E7C82" w14:textId="77777777" w:rsidR="0067124C" w:rsidRPr="003D3DE3" w:rsidRDefault="0067124C" w:rsidP="00F538C8">
            <w:pPr>
              <w:pStyle w:val="Bullet2"/>
            </w:pPr>
            <w:r w:rsidRPr="003D3DE3">
              <w:t>Address</w:t>
            </w:r>
            <w:r>
              <w:t xml:space="preserve">ed </w:t>
            </w:r>
            <w:r w:rsidRPr="003D3DE3">
              <w:t>gender inequality; and/or</w:t>
            </w:r>
          </w:p>
          <w:p w14:paraId="5C7B4424" w14:textId="77777777" w:rsidR="0067124C" w:rsidRPr="00F76DB5" w:rsidRDefault="0067124C" w:rsidP="00F538C8">
            <w:pPr>
              <w:pStyle w:val="Bullet2"/>
            </w:pPr>
            <w:r w:rsidRPr="003D3DE3">
              <w:t>Promote</w:t>
            </w:r>
            <w:r>
              <w:t>d</w:t>
            </w:r>
            <w:r w:rsidRPr="003D3DE3">
              <w:t xml:space="preserve"> gender equality</w:t>
            </w:r>
            <w:r w:rsidRPr="00164C74">
              <w:t xml:space="preserve"> </w:t>
            </w:r>
          </w:p>
          <w:p w14:paraId="7FF20CC4" w14:textId="77777777" w:rsidR="0067124C" w:rsidRDefault="0067124C" w:rsidP="00F538C8">
            <w:pPr>
              <w:pStyle w:val="Bullet1"/>
            </w:pPr>
            <w:r>
              <w:t>Do this for every policy, program or service you listed.</w:t>
            </w:r>
          </w:p>
          <w:p w14:paraId="03E0A66E" w14:textId="77777777" w:rsidR="0067124C" w:rsidRDefault="0067124C" w:rsidP="00F538C8">
            <w:pPr>
              <w:pStyle w:val="Bullet1"/>
            </w:pPr>
            <w:r>
              <w:t>Report only on completed GIAs.</w:t>
            </w:r>
          </w:p>
          <w:p w14:paraId="093A8805" w14:textId="77777777" w:rsidR="0067124C" w:rsidRDefault="0067124C" w:rsidP="00F538C8">
            <w:pPr>
              <w:pStyle w:val="Bodyafterbullets"/>
            </w:pPr>
            <w:r>
              <w:t>Explain how the</w:t>
            </w:r>
            <w:r w:rsidRPr="005702B6">
              <w:t xml:space="preserve"> actions to develop or change your </w:t>
            </w:r>
            <w:r>
              <w:t>policy, program or service</w:t>
            </w:r>
            <w:r w:rsidRPr="005702B6">
              <w:t xml:space="preserve"> </w:t>
            </w:r>
            <w:r>
              <w:t xml:space="preserve">will </w:t>
            </w:r>
            <w:r w:rsidRPr="005702B6">
              <w:t>achieve better outcomes for people of different genders.</w:t>
            </w:r>
            <w:r>
              <w:t xml:space="preserve"> </w:t>
            </w:r>
          </w:p>
          <w:p w14:paraId="2580D5C0" w14:textId="226D4330" w:rsidR="0067124C" w:rsidRDefault="0067124C" w:rsidP="007F6E03">
            <w:pPr>
              <w:pStyle w:val="Body"/>
            </w:pPr>
            <w:r w:rsidRPr="00A20227">
              <w:t xml:space="preserve">If you are </w:t>
            </w:r>
            <w:r>
              <w:t>un</w:t>
            </w:r>
            <w:r w:rsidRPr="00A20227">
              <w:t>sure</w:t>
            </w:r>
            <w:r>
              <w:t xml:space="preserve"> how the actions relate to better outcomes for people of different genders</w:t>
            </w:r>
            <w:r w:rsidRPr="00A20227">
              <w:t>, refer to the gender equality principles</w:t>
            </w:r>
            <w:r>
              <w:t xml:space="preserve"> (s</w:t>
            </w:r>
            <w:r w:rsidR="00A93B4F">
              <w:t xml:space="preserve">ection </w:t>
            </w:r>
            <w:r>
              <w:t xml:space="preserve">6 of the </w:t>
            </w:r>
            <w:hyperlink r:id="rId36" w:history="1">
              <w:r w:rsidRPr="002B2C6D">
                <w:rPr>
                  <w:rStyle w:val="Hyperlink"/>
                  <w:sz w:val="22"/>
                  <w:lang w:eastAsia="en-US"/>
                </w:rPr>
                <w:t>Act</w:t>
              </w:r>
            </w:hyperlink>
            <w:r>
              <w:t>)</w:t>
            </w:r>
            <w:r w:rsidRPr="00A20227">
              <w:t xml:space="preserve">, research or evidence to better understand how </w:t>
            </w:r>
            <w:r>
              <w:t>the</w:t>
            </w:r>
            <w:r w:rsidRPr="00A20227">
              <w:t xml:space="preserve"> actions drive progress towards gender equality.</w:t>
            </w:r>
            <w:r>
              <w:t xml:space="preserve"> </w:t>
            </w:r>
          </w:p>
          <w:p w14:paraId="5A94E77D" w14:textId="77777777" w:rsidR="0067124C" w:rsidRDefault="0067124C" w:rsidP="007F6E03">
            <w:pPr>
              <w:pStyle w:val="Body"/>
            </w:pPr>
            <w:r>
              <w:t>O</w:t>
            </w:r>
            <w:r w:rsidRPr="005702B6">
              <w:t>nly report on completed GIAs</w:t>
            </w:r>
            <w:r>
              <w:t xml:space="preserve"> in your progress report</w:t>
            </w:r>
            <w:r w:rsidRPr="005702B6">
              <w:t>. This means that if no final decision has been made about whether to change the policy, program or service, the GIA should be included in the next progress report.</w:t>
            </w:r>
          </w:p>
          <w:p w14:paraId="0BC5ED10" w14:textId="77777777" w:rsidR="0067124C" w:rsidRDefault="0067124C" w:rsidP="007F6E03">
            <w:pPr>
              <w:pStyle w:val="Heading4"/>
            </w:pPr>
            <w:r>
              <w:t>Advice for demonstrating compliance</w:t>
            </w:r>
          </w:p>
          <w:p w14:paraId="4324429F" w14:textId="77777777" w:rsidR="0067124C" w:rsidRDefault="0067124C" w:rsidP="007F6E03">
            <w:pPr>
              <w:pStyle w:val="Body"/>
            </w:pPr>
            <w:r>
              <w:t xml:space="preserve">Make sure you include information on how your actions </w:t>
            </w:r>
            <w:r w:rsidRPr="00A20227">
              <w:t>met</w:t>
            </w:r>
            <w:r w:rsidRPr="00A20227">
              <w:rPr>
                <w:rFonts w:ascii="Cambria" w:hAnsi="Cambria" w:cs="Cambria"/>
              </w:rPr>
              <w:t> </w:t>
            </w:r>
            <w:r w:rsidRPr="00A20227">
              <w:t>the needs of people of different genders, addressed gender inequality or promoted gender equality</w:t>
            </w:r>
            <w:r>
              <w:t>.</w:t>
            </w:r>
          </w:p>
          <w:p w14:paraId="0454898F" w14:textId="1DD45233" w:rsidR="0067124C" w:rsidRPr="008F0A02" w:rsidRDefault="0067124C" w:rsidP="001B092E">
            <w:pPr>
              <w:pStyle w:val="Body"/>
            </w:pPr>
            <w:r w:rsidRPr="000C03C4">
              <w:t>If it is not clear that the actions you describe help meet the above goals, you may receive an outcome of ‘compliance not demonstrated</w:t>
            </w:r>
            <w:r>
              <w:t>’.</w:t>
            </w:r>
            <w:r w:rsidRPr="00FB07A1">
              <w:t xml:space="preserve"> </w:t>
            </w:r>
          </w:p>
        </w:tc>
      </w:tr>
      <w:tr w:rsidR="0067124C" w:rsidRPr="008F0A02" w14:paraId="1907230C" w14:textId="77777777" w:rsidTr="007F6E03">
        <w:tc>
          <w:tcPr>
            <w:tcW w:w="1980" w:type="dxa"/>
          </w:tcPr>
          <w:p w14:paraId="0B55B326" w14:textId="77777777" w:rsidR="0067124C" w:rsidRPr="007F1B18" w:rsidRDefault="0067124C" w:rsidP="007F6E03">
            <w:pPr>
              <w:pStyle w:val="Body"/>
              <w:rPr>
                <w:highlight w:val="yellow"/>
              </w:rPr>
            </w:pPr>
            <w:r w:rsidRPr="432E1C71">
              <w:rPr>
                <w:rFonts w:cstheme="minorBidi"/>
                <w:highlight w:val="lightGray"/>
              </w:rPr>
              <w:t xml:space="preserve">(H) If you did not </w:t>
            </w:r>
            <w:proofErr w:type="gramStart"/>
            <w:r w:rsidRPr="432E1C71">
              <w:rPr>
                <w:rFonts w:cstheme="minorBidi"/>
                <w:highlight w:val="lightGray"/>
              </w:rPr>
              <w:t>take action</w:t>
            </w:r>
            <w:proofErr w:type="gramEnd"/>
            <w:r w:rsidRPr="432E1C71">
              <w:rPr>
                <w:rFonts w:cstheme="minorBidi"/>
                <w:highlight w:val="lightGray"/>
              </w:rPr>
              <w:t xml:space="preserve"> as a result of the GIA, explain why</w:t>
            </w:r>
            <w:r w:rsidRPr="432E1C71">
              <w:rPr>
                <w:rFonts w:cstheme="minorBidi"/>
                <w:b/>
                <w:highlight w:val="lightGray"/>
              </w:rPr>
              <w:t xml:space="preserve"> (required)</w:t>
            </w:r>
          </w:p>
        </w:tc>
        <w:tc>
          <w:tcPr>
            <w:tcW w:w="7229" w:type="dxa"/>
          </w:tcPr>
          <w:p w14:paraId="71C664B6" w14:textId="77777777" w:rsidR="0067124C" w:rsidRPr="00B940F7" w:rsidRDefault="0067124C" w:rsidP="00F538C8">
            <w:pPr>
              <w:pStyle w:val="Bullet1"/>
              <w:rPr>
                <w:sz w:val="22"/>
                <w:szCs w:val="22"/>
              </w:rPr>
            </w:pPr>
            <w:r w:rsidRPr="00F517C5">
              <w:t>Describe the reason</w:t>
            </w:r>
            <w:r>
              <w:t>(</w:t>
            </w:r>
            <w:r w:rsidRPr="00F517C5">
              <w:t>s</w:t>
            </w:r>
            <w:r>
              <w:t>)</w:t>
            </w:r>
            <w:r w:rsidRPr="00F517C5">
              <w:t xml:space="preserve"> why no action was taken on </w:t>
            </w:r>
            <w:r w:rsidRPr="00A93B4F">
              <w:t>your</w:t>
            </w:r>
            <w:r w:rsidRPr="00F517C5">
              <w:t xml:space="preserve"> </w:t>
            </w:r>
            <w:r>
              <w:t>policy, program or service</w:t>
            </w:r>
            <w:r w:rsidRPr="00F517C5">
              <w:t xml:space="preserve"> </w:t>
            </w:r>
            <w:proofErr w:type="gramStart"/>
            <w:r w:rsidRPr="00F517C5">
              <w:t>as a result of</w:t>
            </w:r>
            <w:proofErr w:type="gramEnd"/>
            <w:r w:rsidRPr="00F517C5">
              <w:t xml:space="preserve"> the GIA</w:t>
            </w:r>
            <w:r>
              <w:t>.</w:t>
            </w:r>
          </w:p>
          <w:p w14:paraId="5880F286" w14:textId="77777777" w:rsidR="0067124C" w:rsidRDefault="0067124C" w:rsidP="00F538C8">
            <w:pPr>
              <w:pStyle w:val="Bodyafterbullets"/>
            </w:pPr>
            <w:r w:rsidRPr="00B03BE9">
              <w:t xml:space="preserve">If </w:t>
            </w:r>
            <w:r w:rsidRPr="00A93B4F">
              <w:t>actions</w:t>
            </w:r>
            <w:r w:rsidRPr="00B03BE9">
              <w:t xml:space="preserve"> were taken</w:t>
            </w:r>
            <w:r>
              <w:t>:</w:t>
            </w:r>
          </w:p>
          <w:p w14:paraId="65E4D465" w14:textId="79CA5BAC" w:rsidR="0067124C" w:rsidRPr="00E31229" w:rsidRDefault="0067124C" w:rsidP="007F6E03">
            <w:pPr>
              <w:pStyle w:val="Bullet1"/>
              <w:rPr>
                <w:sz w:val="22"/>
                <w:szCs w:val="22"/>
              </w:rPr>
            </w:pPr>
            <w:r w:rsidRPr="00B03BE9">
              <w:rPr>
                <w:szCs w:val="22"/>
              </w:rPr>
              <w:t>write N/A in this column</w:t>
            </w:r>
          </w:p>
          <w:p w14:paraId="3D76FE50" w14:textId="0DFA8807" w:rsidR="0067124C" w:rsidRPr="00FB7770" w:rsidRDefault="0067124C" w:rsidP="00F538C8">
            <w:pPr>
              <w:pStyle w:val="Bullet1"/>
              <w:rPr>
                <w:sz w:val="22"/>
                <w:szCs w:val="22"/>
              </w:rPr>
            </w:pPr>
            <w:r>
              <w:rPr>
                <w:szCs w:val="22"/>
              </w:rPr>
              <w:t>m</w:t>
            </w:r>
            <w:r w:rsidRPr="00B03BE9">
              <w:rPr>
                <w:szCs w:val="22"/>
              </w:rPr>
              <w:t>ove to</w:t>
            </w:r>
            <w:r>
              <w:rPr>
                <w:szCs w:val="22"/>
              </w:rPr>
              <w:t xml:space="preserve"> the next</w:t>
            </w:r>
            <w:r w:rsidRPr="00B03BE9">
              <w:rPr>
                <w:szCs w:val="22"/>
              </w:rPr>
              <w:t xml:space="preserve"> column </w:t>
            </w:r>
            <w:r>
              <w:rPr>
                <w:szCs w:val="22"/>
              </w:rPr>
              <w:t>(under (I))</w:t>
            </w:r>
            <w:r w:rsidR="00A93B4F">
              <w:rPr>
                <w:szCs w:val="22"/>
              </w:rPr>
              <w:t>.</w:t>
            </w:r>
          </w:p>
        </w:tc>
      </w:tr>
      <w:tr w:rsidR="0067124C" w:rsidRPr="008F0A02" w14:paraId="3D75E79B" w14:textId="77777777" w:rsidTr="007F6E03">
        <w:tc>
          <w:tcPr>
            <w:tcW w:w="1980" w:type="dxa"/>
          </w:tcPr>
          <w:p w14:paraId="41D850FC" w14:textId="77777777" w:rsidR="0067124C" w:rsidRPr="008F0A02" w:rsidRDefault="0067124C" w:rsidP="007F6E03">
            <w:pPr>
              <w:pStyle w:val="Body"/>
            </w:pPr>
            <w:r>
              <w:rPr>
                <w:rFonts w:cstheme="minorHAnsi"/>
              </w:rPr>
              <w:t xml:space="preserve">(I) </w:t>
            </w:r>
            <w:r w:rsidRPr="00B34CF9">
              <w:rPr>
                <w:rFonts w:cstheme="minorHAnsi"/>
              </w:rPr>
              <w:t xml:space="preserve">Describe </w:t>
            </w:r>
            <w:r>
              <w:rPr>
                <w:rFonts w:cstheme="minorHAnsi"/>
              </w:rPr>
              <w:t xml:space="preserve">how and why intersectionality was considered (or not) </w:t>
            </w:r>
            <w:r>
              <w:rPr>
                <w:rFonts w:cstheme="minorHAnsi"/>
                <w:b/>
                <w:bCs/>
              </w:rPr>
              <w:t>(required)</w:t>
            </w:r>
          </w:p>
        </w:tc>
        <w:tc>
          <w:tcPr>
            <w:tcW w:w="7229" w:type="dxa"/>
          </w:tcPr>
          <w:p w14:paraId="22A7B448" w14:textId="77777777" w:rsidR="0067124C" w:rsidRDefault="0067124C" w:rsidP="00F538C8">
            <w:pPr>
              <w:pStyle w:val="Bullet1"/>
            </w:pPr>
            <w:r>
              <w:t>Describe how you considered intersectionality.</w:t>
            </w:r>
          </w:p>
          <w:p w14:paraId="16BBF4BE" w14:textId="77777777" w:rsidR="0067124C" w:rsidRDefault="0067124C" w:rsidP="00F538C8">
            <w:pPr>
              <w:pStyle w:val="Bullet1"/>
            </w:pPr>
            <w:r>
              <w:t xml:space="preserve">If you did not consider intersectionality, explain why. </w:t>
            </w:r>
          </w:p>
          <w:p w14:paraId="43A8D48C" w14:textId="77777777" w:rsidR="0067124C" w:rsidRDefault="0067124C" w:rsidP="00F538C8">
            <w:pPr>
              <w:pStyle w:val="Bullet1"/>
            </w:pPr>
            <w:r>
              <w:t>Do this for every policy, program or service you listed.</w:t>
            </w:r>
          </w:p>
          <w:p w14:paraId="69A91778" w14:textId="77777777" w:rsidR="0067124C" w:rsidRDefault="0067124C" w:rsidP="00F538C8">
            <w:pPr>
              <w:pStyle w:val="Bodyafterbullets"/>
            </w:pPr>
            <w:r>
              <w:t xml:space="preserve">When undertaking a GIA, the Act requires duty holders to </w:t>
            </w:r>
            <w:proofErr w:type="gramStart"/>
            <w:r>
              <w:t>take into account</w:t>
            </w:r>
            <w:proofErr w:type="gramEnd"/>
            <w:r>
              <w:t xml:space="preserve">, where practicable, how gender inequality can be compounded by disadvantage or discrimination that groups of people may experience. </w:t>
            </w:r>
            <w:r w:rsidRPr="432E1C71">
              <w:t xml:space="preserve">This is called </w:t>
            </w:r>
            <w:hyperlink w:anchor="_Intersectional_gender_inequality">
              <w:r w:rsidRPr="432E1C71">
                <w:rPr>
                  <w:rStyle w:val="Hyperlink"/>
                </w:rPr>
                <w:t>intersectional gender equality</w:t>
              </w:r>
            </w:hyperlink>
            <w:r w:rsidRPr="432E1C71">
              <w:t xml:space="preserve">. </w:t>
            </w:r>
          </w:p>
          <w:p w14:paraId="16F6390D" w14:textId="77777777" w:rsidR="0067124C" w:rsidRPr="00B27CDF" w:rsidRDefault="0067124C" w:rsidP="00F538C8">
            <w:pPr>
              <w:pStyle w:val="Body"/>
            </w:pPr>
            <w:r>
              <w:t>To do an intersectional analysis, you should</w:t>
            </w:r>
            <w:r w:rsidRPr="00B27CDF">
              <w:t xml:space="preserve"> consider the </w:t>
            </w:r>
            <w:r w:rsidRPr="00A93B4F">
              <w:t>impact</w:t>
            </w:r>
            <w:r w:rsidRPr="00B27CDF">
              <w:t xml:space="preserve"> of your policies, programs </w:t>
            </w:r>
            <w:r>
              <w:t>or</w:t>
            </w:r>
            <w:r w:rsidRPr="00B27CDF">
              <w:t xml:space="preserve"> services on people</w:t>
            </w:r>
            <w:r>
              <w:t xml:space="preserve"> </w:t>
            </w:r>
            <w:r w:rsidRPr="00B27CDF">
              <w:t xml:space="preserve">who experience compounding forms of discrimination </w:t>
            </w:r>
            <w:proofErr w:type="gramStart"/>
            <w:r w:rsidRPr="00B27CDF">
              <w:t>on the basis of</w:t>
            </w:r>
            <w:proofErr w:type="gramEnd"/>
            <w:r w:rsidRPr="00B27CDF">
              <w:t xml:space="preserve"> gender</w:t>
            </w:r>
            <w:r w:rsidRPr="00B27CDF">
              <w:rPr>
                <w:rFonts w:ascii="Cambria" w:hAnsi="Cambria" w:cs="Cambria"/>
              </w:rPr>
              <w:t> </w:t>
            </w:r>
            <w:r w:rsidRPr="00B27CDF">
              <w:rPr>
                <w:b/>
                <w:bCs/>
              </w:rPr>
              <w:t>and</w:t>
            </w:r>
            <w:r w:rsidRPr="00B27CDF">
              <w:rPr>
                <w:rFonts w:ascii="Cambria" w:hAnsi="Cambria" w:cs="Cambria"/>
              </w:rPr>
              <w:t> </w:t>
            </w:r>
            <w:r w:rsidRPr="00B27CDF">
              <w:t>other factors</w:t>
            </w:r>
            <w:r>
              <w:t xml:space="preserve"> (for example, being a woman with disability, being a First Nations woman)</w:t>
            </w:r>
            <w:r w:rsidRPr="00B27CDF">
              <w:t>.</w:t>
            </w:r>
            <w:r>
              <w:t xml:space="preserve"> Factors can include</w:t>
            </w:r>
            <w:r w:rsidRPr="00B27CDF">
              <w:t>:</w:t>
            </w:r>
          </w:p>
          <w:p w14:paraId="7EF7751F" w14:textId="77777777" w:rsidR="0067124C" w:rsidRPr="000B3905" w:rsidRDefault="0067124C" w:rsidP="007F6E03">
            <w:pPr>
              <w:pStyle w:val="Bullet1"/>
            </w:pPr>
            <w:r w:rsidRPr="000B3905">
              <w:t>being a First Nations person</w:t>
            </w:r>
          </w:p>
          <w:p w14:paraId="76551873" w14:textId="77777777" w:rsidR="0067124C" w:rsidRDefault="0067124C" w:rsidP="007F6E03">
            <w:pPr>
              <w:pStyle w:val="Bullet1"/>
            </w:pPr>
            <w:r>
              <w:t>age</w:t>
            </w:r>
          </w:p>
          <w:p w14:paraId="3997ED16" w14:textId="77777777" w:rsidR="0067124C" w:rsidRDefault="0067124C" w:rsidP="007F6E03">
            <w:pPr>
              <w:pStyle w:val="Bullet1"/>
            </w:pPr>
            <w:r w:rsidRPr="00B27CDF">
              <w:t>disability</w:t>
            </w:r>
          </w:p>
          <w:p w14:paraId="146F41D5" w14:textId="77777777" w:rsidR="0067124C" w:rsidRDefault="0067124C" w:rsidP="007F6E03">
            <w:pPr>
              <w:pStyle w:val="Bullet1"/>
            </w:pPr>
            <w:r>
              <w:t>ethnicity</w:t>
            </w:r>
          </w:p>
          <w:p w14:paraId="0B3D3DE2" w14:textId="77777777" w:rsidR="0067124C" w:rsidRPr="000B3905" w:rsidRDefault="0067124C" w:rsidP="007F6E03">
            <w:pPr>
              <w:pStyle w:val="Bullet1"/>
            </w:pPr>
            <w:r w:rsidRPr="000B3905">
              <w:t>gender identity</w:t>
            </w:r>
          </w:p>
          <w:p w14:paraId="477BAEBD" w14:textId="77777777" w:rsidR="0067124C" w:rsidRPr="000B3905" w:rsidRDefault="0067124C" w:rsidP="007F6E03">
            <w:pPr>
              <w:pStyle w:val="Bullet1"/>
            </w:pPr>
            <w:r w:rsidRPr="000B3905">
              <w:t>race</w:t>
            </w:r>
          </w:p>
          <w:p w14:paraId="6EEB65DE" w14:textId="77777777" w:rsidR="0067124C" w:rsidRDefault="0067124C" w:rsidP="007F6E03">
            <w:pPr>
              <w:pStyle w:val="Bullet1"/>
            </w:pPr>
            <w:r>
              <w:t>religion, and/or</w:t>
            </w:r>
          </w:p>
          <w:p w14:paraId="57AFF45A" w14:textId="77777777" w:rsidR="0067124C" w:rsidRPr="0034360E" w:rsidRDefault="0067124C" w:rsidP="007F6E03">
            <w:pPr>
              <w:pStyle w:val="Bullet1"/>
            </w:pPr>
            <w:r>
              <w:t>sexual orientation</w:t>
            </w:r>
            <w:r w:rsidRPr="00B27CDF">
              <w:t>.</w:t>
            </w:r>
          </w:p>
          <w:p w14:paraId="143E0088" w14:textId="77777777" w:rsidR="0067124C" w:rsidRDefault="0067124C" w:rsidP="00F538C8">
            <w:pPr>
              <w:pStyle w:val="Bodyafterbullets"/>
            </w:pPr>
            <w:r>
              <w:t>Compounded gender inequality can be considered across more than one stage of a GIA. You might consider:</w:t>
            </w:r>
          </w:p>
          <w:p w14:paraId="29A72119" w14:textId="77777777" w:rsidR="0067124C" w:rsidRPr="000B3905" w:rsidRDefault="0067124C" w:rsidP="007F6E03">
            <w:pPr>
              <w:pStyle w:val="Bullet1"/>
            </w:pPr>
            <w:r w:rsidRPr="000B3905">
              <w:t>consulting with stakeholders or community members who experience compounded gender inequality</w:t>
            </w:r>
          </w:p>
          <w:p w14:paraId="0BAD7EB2" w14:textId="77777777" w:rsidR="0067124C" w:rsidRPr="000B3905" w:rsidRDefault="0067124C" w:rsidP="007F6E03">
            <w:pPr>
              <w:pStyle w:val="Bullet1"/>
            </w:pPr>
            <w:r w:rsidRPr="000B3905">
              <w:t>asking experts about compounded gender inequality</w:t>
            </w:r>
          </w:p>
          <w:p w14:paraId="19E23880" w14:textId="77777777" w:rsidR="0067124C" w:rsidRDefault="0067124C" w:rsidP="007F6E03">
            <w:pPr>
              <w:pStyle w:val="Bullet1"/>
              <w:rPr>
                <w:szCs w:val="22"/>
              </w:rPr>
            </w:pPr>
            <w:r w:rsidRPr="000B3905">
              <w:t>using</w:t>
            </w:r>
            <w:r>
              <w:rPr>
                <w:szCs w:val="22"/>
              </w:rPr>
              <w:t xml:space="preserve"> data in your GIA that reveals forms of compounded gender inequality</w:t>
            </w:r>
          </w:p>
          <w:p w14:paraId="169E4511" w14:textId="77777777" w:rsidR="0067124C" w:rsidRDefault="0067124C" w:rsidP="007F6E03">
            <w:pPr>
              <w:pStyle w:val="Bullet1"/>
              <w:rPr>
                <w:szCs w:val="22"/>
              </w:rPr>
            </w:pPr>
            <w:r>
              <w:rPr>
                <w:szCs w:val="22"/>
              </w:rPr>
              <w:t xml:space="preserve">doing research about compounded gender inequality to inform your </w:t>
            </w:r>
            <w:r w:rsidRPr="000B3905">
              <w:t>GIA</w:t>
            </w:r>
            <w:r>
              <w:rPr>
                <w:szCs w:val="22"/>
              </w:rPr>
              <w:t>.</w:t>
            </w:r>
          </w:p>
          <w:p w14:paraId="50CC6A5A" w14:textId="77777777" w:rsidR="0067124C" w:rsidRPr="00620D18" w:rsidRDefault="0067124C" w:rsidP="00F538C8">
            <w:pPr>
              <w:pStyle w:val="Bodyafterbullets"/>
              <w:rPr>
                <w:rFonts w:cs="Cambria"/>
                <w:sz w:val="22"/>
              </w:rPr>
            </w:pPr>
            <w:r w:rsidDel="00D31634">
              <w:t>For many organisations</w:t>
            </w:r>
            <w:r>
              <w:t>,</w:t>
            </w:r>
            <w:r w:rsidDel="00D31634">
              <w:t xml:space="preserve"> </w:t>
            </w:r>
            <w:r>
              <w:t xml:space="preserve">taking intersectional gender equality into account is </w:t>
            </w:r>
            <w:r w:rsidDel="00D31634">
              <w:t>a new practice</w:t>
            </w:r>
            <w:r>
              <w:t>. D</w:t>
            </w:r>
            <w:r w:rsidDel="00D31634">
              <w:t xml:space="preserve">ocumenting and </w:t>
            </w:r>
            <w:r w:rsidRPr="00A93B4F" w:rsidDel="00D31634">
              <w:t>reporting</w:t>
            </w:r>
            <w:r w:rsidDel="00D31634">
              <w:t xml:space="preserve"> on </w:t>
            </w:r>
            <w:r>
              <w:t>any intersectional analysis</w:t>
            </w:r>
            <w:r w:rsidDel="00D31634">
              <w:t xml:space="preserve"> </w:t>
            </w:r>
            <w:r>
              <w:t>here</w:t>
            </w:r>
            <w:r w:rsidDel="00D31634">
              <w:t xml:space="preserve"> will</w:t>
            </w:r>
            <w:r>
              <w:t xml:space="preserve"> </w:t>
            </w:r>
            <w:r w:rsidDel="00D31634">
              <w:t xml:space="preserve">support capability-building across all </w:t>
            </w:r>
            <w:r w:rsidRPr="007270DB">
              <w:t>duty holders</w:t>
            </w:r>
            <w:r w:rsidRPr="007270DB" w:rsidDel="00D31634">
              <w:t>.</w:t>
            </w:r>
            <w:r w:rsidRPr="007270DB" w:rsidDel="00D31634">
              <w:rPr>
                <w:rFonts w:ascii="Cambria" w:hAnsi="Cambria" w:cs="Cambria"/>
              </w:rPr>
              <w:t> </w:t>
            </w:r>
          </w:p>
          <w:p w14:paraId="4211BC69" w14:textId="6BB2AE2B" w:rsidR="0067124C" w:rsidRPr="001A0441" w:rsidRDefault="0067124C" w:rsidP="00F538C8">
            <w:pPr>
              <w:pStyle w:val="Body"/>
              <w:rPr>
                <w:rFonts w:cs="Cambria"/>
              </w:rPr>
            </w:pPr>
            <w:r w:rsidRPr="00620D18">
              <w:rPr>
                <w:rFonts w:cs="Cambria"/>
              </w:rPr>
              <w:t xml:space="preserve">If you were unable to consider compounded gender inequality when doing the GIA, you must explain why this was not practicable in this section. </w:t>
            </w:r>
          </w:p>
        </w:tc>
      </w:tr>
      <w:tr w:rsidR="0067124C" w:rsidRPr="008F0A02" w14:paraId="20B3B528" w14:textId="77777777" w:rsidTr="007F6E03">
        <w:tc>
          <w:tcPr>
            <w:tcW w:w="1980" w:type="dxa"/>
          </w:tcPr>
          <w:p w14:paraId="6F42E884" w14:textId="77777777" w:rsidR="0067124C" w:rsidRPr="00401E16" w:rsidRDefault="0067124C" w:rsidP="007F6E03">
            <w:pPr>
              <w:pStyle w:val="Body"/>
            </w:pPr>
            <w:r>
              <w:rPr>
                <w:rFonts w:cstheme="minorHAnsi"/>
              </w:rPr>
              <w:t xml:space="preserve">(J) Describe </w:t>
            </w:r>
            <w:r w:rsidRPr="00B34CF9">
              <w:rPr>
                <w:rFonts w:cstheme="minorHAnsi"/>
              </w:rPr>
              <w:t>any actions taken specifically designed to address intersectional inequalities (compounded gender inequalities)?</w:t>
            </w:r>
            <w:r>
              <w:rPr>
                <w:rFonts w:cstheme="minorHAnsi"/>
              </w:rPr>
              <w:t xml:space="preserve"> (</w:t>
            </w:r>
            <w:r w:rsidRPr="00401E16">
              <w:rPr>
                <w:rFonts w:cstheme="minorHAnsi"/>
                <w:b/>
                <w:bCs/>
              </w:rPr>
              <w:t>recommended</w:t>
            </w:r>
            <w:r>
              <w:rPr>
                <w:rFonts w:cstheme="minorHAnsi"/>
              </w:rPr>
              <w:t>)</w:t>
            </w:r>
          </w:p>
        </w:tc>
        <w:tc>
          <w:tcPr>
            <w:tcW w:w="7229" w:type="dxa"/>
          </w:tcPr>
          <w:p w14:paraId="74DF0D88" w14:textId="77777777" w:rsidR="0067124C" w:rsidRDefault="0067124C" w:rsidP="007F6E03">
            <w:pPr>
              <w:pStyle w:val="Body"/>
            </w:pPr>
            <w:r>
              <w:t xml:space="preserve">Describe any actions taken to address issues you identified when considering compounded gender inequality. </w:t>
            </w:r>
          </w:p>
          <w:p w14:paraId="0A1D4A2F" w14:textId="184CE9E3" w:rsidR="0067124C" w:rsidRPr="001A0441" w:rsidRDefault="0067124C" w:rsidP="007F6E03">
            <w:pPr>
              <w:pStyle w:val="Body"/>
            </w:pPr>
            <w:r>
              <w:t>You can cross-reference the actions you already described, if relevant (under (G)).</w:t>
            </w:r>
          </w:p>
        </w:tc>
      </w:tr>
    </w:tbl>
    <w:p w14:paraId="29398F55" w14:textId="77777777" w:rsidR="0067124C" w:rsidRDefault="0067124C" w:rsidP="0067124C">
      <w:pPr>
        <w:rPr>
          <w:rFonts w:eastAsiaTheme="majorEastAsia" w:cstheme="majorBidi"/>
          <w:color w:val="5C308D"/>
          <w:sz w:val="48"/>
          <w:szCs w:val="32"/>
        </w:rPr>
      </w:pPr>
      <w:bookmarkStart w:id="12" w:name="_Toc184918437"/>
      <w:r>
        <w:br w:type="page"/>
      </w:r>
    </w:p>
    <w:p w14:paraId="203C7484" w14:textId="77777777" w:rsidR="0067124C" w:rsidRPr="00407715" w:rsidRDefault="0067124C" w:rsidP="0067124C">
      <w:pPr>
        <w:pStyle w:val="Heading1"/>
      </w:pPr>
      <w:r>
        <w:t xml:space="preserve">Part 2: Reporting on progress against the </w:t>
      </w:r>
      <w:r w:rsidRPr="00407715">
        <w:t>indicators</w:t>
      </w:r>
      <w:bookmarkEnd w:id="12"/>
    </w:p>
    <w:p w14:paraId="4A4EAE1D" w14:textId="77777777" w:rsidR="0067124C" w:rsidRPr="008F5397" w:rsidRDefault="0067124C" w:rsidP="00F538C8">
      <w:pPr>
        <w:pStyle w:val="Body"/>
        <w:rPr>
          <w:bCs/>
        </w:rPr>
      </w:pPr>
      <w:r w:rsidRPr="00F538C8">
        <w:rPr>
          <w:b/>
          <w:bCs/>
        </w:rPr>
        <w:t>This part includes required and recommended action items.</w:t>
      </w:r>
    </w:p>
    <w:p w14:paraId="477A7749" w14:textId="7ECCD619" w:rsidR="0067124C" w:rsidRDefault="0067124C" w:rsidP="0067124C">
      <w:pPr>
        <w:pStyle w:val="Body"/>
      </w:pPr>
      <w:r w:rsidRPr="007A724A">
        <w:t xml:space="preserve">This section </w:t>
      </w:r>
      <w:r w:rsidR="00E94C70">
        <w:t>supports you</w:t>
      </w:r>
      <w:r w:rsidRPr="007A724A">
        <w:t xml:space="preserve"> to report on your progress against the </w:t>
      </w:r>
      <w:hyperlink r:id="rId37" w:history="1">
        <w:r w:rsidRPr="00463691">
          <w:rPr>
            <w:rStyle w:val="Hyperlink"/>
          </w:rPr>
          <w:t>workplace gender equality indicators</w:t>
        </w:r>
      </w:hyperlink>
      <w:r>
        <w:t xml:space="preserve"> (indicators) in the Act.</w:t>
      </w:r>
    </w:p>
    <w:p w14:paraId="3A3779C5" w14:textId="39EA3E08" w:rsidR="00E94C70" w:rsidRDefault="0067124C" w:rsidP="00E94C70">
      <w:pPr>
        <w:pStyle w:val="Body"/>
      </w:pPr>
      <w:r>
        <w:t xml:space="preserve">Reporting on your organisation’s progress </w:t>
      </w:r>
      <w:r w:rsidR="00E94C70">
        <w:t>on</w:t>
      </w:r>
      <w:r>
        <w:t xml:space="preserve"> the indicators allow</w:t>
      </w:r>
      <w:r w:rsidR="00E94C70">
        <w:t>s</w:t>
      </w:r>
      <w:r>
        <w:t xml:space="preserve"> the Commissioner to assess your organisation’s compliance with the requirement to make ‘reasonable and material </w:t>
      </w:r>
      <w:r w:rsidRPr="00215D5A">
        <w:t>progress’</w:t>
      </w:r>
      <w:r>
        <w:t xml:space="preserve"> on the indicators.</w:t>
      </w:r>
    </w:p>
    <w:p w14:paraId="403F02D0" w14:textId="74B40BD9" w:rsidR="0067124C" w:rsidRDefault="0067124C" w:rsidP="00F538C8">
      <w:pPr>
        <w:pStyle w:val="Body"/>
      </w:pPr>
      <w:r>
        <w:t>It will also help you to determine if the strategies in your GEAP have translated into measurable change. This information will assist you to further develop and tailor your GEAP strategies.</w:t>
      </w:r>
    </w:p>
    <w:p w14:paraId="4C5BB07E" w14:textId="77777777" w:rsidR="0067124C" w:rsidRDefault="0067124C" w:rsidP="00F538C8">
      <w:pPr>
        <w:pStyle w:val="Body"/>
      </w:pPr>
      <w:r>
        <w:t>In this part, you will find:</w:t>
      </w:r>
    </w:p>
    <w:p w14:paraId="748E9DD3" w14:textId="77777777" w:rsidR="0067124C" w:rsidRDefault="0067124C" w:rsidP="00E94C70">
      <w:pPr>
        <w:pStyle w:val="Bullet1"/>
      </w:pPr>
      <w:r>
        <w:t xml:space="preserve">2A </w:t>
      </w:r>
      <w:r w:rsidRPr="007249A9">
        <w:t>Complet</w:t>
      </w:r>
      <w:r>
        <w:t>ing</w:t>
      </w:r>
      <w:r w:rsidRPr="007249A9">
        <w:t xml:space="preserve"> your </w:t>
      </w:r>
      <w:r>
        <w:t>workplace gender</w:t>
      </w:r>
      <w:r w:rsidRPr="007249A9">
        <w:t xml:space="preserve"> audit and analys</w:t>
      </w:r>
      <w:r>
        <w:t>ing</w:t>
      </w:r>
      <w:r w:rsidRPr="007249A9">
        <w:t xml:space="preserve"> the data (</w:t>
      </w:r>
      <w:r w:rsidRPr="00641358">
        <w:rPr>
          <w:b/>
          <w:bCs/>
        </w:rPr>
        <w:t>required</w:t>
      </w:r>
      <w:r w:rsidRPr="007249A9">
        <w:t>)</w:t>
      </w:r>
    </w:p>
    <w:p w14:paraId="1E498F81" w14:textId="77777777" w:rsidR="0067124C" w:rsidRDefault="0067124C" w:rsidP="00E94C70">
      <w:pPr>
        <w:pStyle w:val="Bullet1"/>
      </w:pPr>
      <w:r>
        <w:t>2.1 Describing progress against the workplace gender equality indicators (</w:t>
      </w:r>
      <w:r w:rsidRPr="00641358">
        <w:rPr>
          <w:b/>
          <w:bCs/>
        </w:rPr>
        <w:t>required</w:t>
      </w:r>
      <w:r>
        <w:rPr>
          <w:b/>
          <w:bCs/>
        </w:rPr>
        <w:t xml:space="preserve"> and recommended items</w:t>
      </w:r>
      <w:r>
        <w:t>)</w:t>
      </w:r>
    </w:p>
    <w:p w14:paraId="0296985D" w14:textId="3245B0A4" w:rsidR="0067124C" w:rsidRDefault="0067124C" w:rsidP="00F538C8">
      <w:pPr>
        <w:pStyle w:val="Bullet1"/>
      </w:pPr>
      <w:r>
        <w:t xml:space="preserve">2.2 Describing factors contributing to or </w:t>
      </w:r>
      <w:r w:rsidRPr="00E94C70">
        <w:t>inhibiting</w:t>
      </w:r>
      <w:r>
        <w:t xml:space="preserve"> progress (</w:t>
      </w:r>
      <w:r w:rsidRPr="00E94C70">
        <w:rPr>
          <w:b/>
          <w:bCs/>
        </w:rPr>
        <w:t>required</w:t>
      </w:r>
      <w:r>
        <w:t>)</w:t>
      </w:r>
    </w:p>
    <w:p w14:paraId="665FC8FA" w14:textId="77777777" w:rsidR="0067124C" w:rsidRPr="007249A9" w:rsidRDefault="0067124C" w:rsidP="00E94C70">
      <w:pPr>
        <w:pStyle w:val="Heading2"/>
      </w:pPr>
      <w:r>
        <w:t xml:space="preserve">2A </w:t>
      </w:r>
      <w:r w:rsidRPr="007249A9">
        <w:t>Complet</w:t>
      </w:r>
      <w:r>
        <w:t>ing</w:t>
      </w:r>
      <w:r w:rsidRPr="007249A9">
        <w:t xml:space="preserve"> your </w:t>
      </w:r>
      <w:r w:rsidRPr="00E94C70">
        <w:t>workplace</w:t>
      </w:r>
      <w:r>
        <w:t xml:space="preserve"> </w:t>
      </w:r>
      <w:r w:rsidRPr="00E94C70">
        <w:t>gender</w:t>
      </w:r>
      <w:r w:rsidRPr="007249A9">
        <w:t xml:space="preserve"> audit and analys</w:t>
      </w:r>
      <w:r>
        <w:t>ing</w:t>
      </w:r>
      <w:r w:rsidRPr="007249A9">
        <w:t xml:space="preserve"> the data (required)</w:t>
      </w:r>
    </w:p>
    <w:p w14:paraId="03AE0A93" w14:textId="3BF5ABE6" w:rsidR="0067124C" w:rsidRDefault="0067124C" w:rsidP="0067124C">
      <w:pPr>
        <w:pStyle w:val="Body"/>
        <w:rPr>
          <w:szCs w:val="22"/>
        </w:rPr>
      </w:pPr>
      <w:r w:rsidRPr="00B46111">
        <w:rPr>
          <w:szCs w:val="22"/>
        </w:rPr>
        <w:t xml:space="preserve">Before completing the indicators </w:t>
      </w:r>
      <w:r>
        <w:rPr>
          <w:szCs w:val="22"/>
        </w:rPr>
        <w:t>section of the</w:t>
      </w:r>
      <w:r w:rsidRPr="00B46111">
        <w:rPr>
          <w:szCs w:val="22"/>
        </w:rPr>
        <w:t xml:space="preserve"> template, </w:t>
      </w:r>
      <w:r w:rsidR="00895915">
        <w:rPr>
          <w:szCs w:val="22"/>
        </w:rPr>
        <w:t>must</w:t>
      </w:r>
      <w:r>
        <w:rPr>
          <w:szCs w:val="22"/>
        </w:rPr>
        <w:t xml:space="preserve"> </w:t>
      </w:r>
      <w:r w:rsidRPr="00B46111">
        <w:rPr>
          <w:szCs w:val="22"/>
        </w:rPr>
        <w:t>undertake</w:t>
      </w:r>
      <w:r>
        <w:rPr>
          <w:szCs w:val="22"/>
        </w:rPr>
        <w:t xml:space="preserve"> </w:t>
      </w:r>
      <w:r w:rsidRPr="00B46111">
        <w:rPr>
          <w:szCs w:val="22"/>
        </w:rPr>
        <w:t xml:space="preserve">a </w:t>
      </w:r>
      <w:r>
        <w:rPr>
          <w:szCs w:val="22"/>
        </w:rPr>
        <w:t>workplace gender</w:t>
      </w:r>
      <w:r w:rsidRPr="00B46111">
        <w:rPr>
          <w:szCs w:val="22"/>
        </w:rPr>
        <w:t xml:space="preserve"> audit</w:t>
      </w:r>
      <w:r>
        <w:rPr>
          <w:szCs w:val="22"/>
        </w:rPr>
        <w:t xml:space="preserve"> (audit)</w:t>
      </w:r>
      <w:r w:rsidRPr="00B46111">
        <w:rPr>
          <w:szCs w:val="22"/>
        </w:rPr>
        <w:t xml:space="preserve">. </w:t>
      </w:r>
    </w:p>
    <w:p w14:paraId="74ABE89C" w14:textId="77777777" w:rsidR="00895915" w:rsidRDefault="0067124C" w:rsidP="0067124C">
      <w:pPr>
        <w:pStyle w:val="Body"/>
      </w:pPr>
      <w:r>
        <w:rPr>
          <w:szCs w:val="22"/>
        </w:rPr>
        <w:t xml:space="preserve">You must collate and analyse your </w:t>
      </w:r>
      <w:r w:rsidRPr="00B46111">
        <w:rPr>
          <w:szCs w:val="22"/>
        </w:rPr>
        <w:t xml:space="preserve">audit </w:t>
      </w:r>
      <w:r>
        <w:rPr>
          <w:szCs w:val="22"/>
        </w:rPr>
        <w:t xml:space="preserve">data </w:t>
      </w:r>
      <w:r w:rsidRPr="00B46111">
        <w:rPr>
          <w:szCs w:val="22"/>
        </w:rPr>
        <w:t>to demonstrate your progress in relation to</w:t>
      </w:r>
      <w:r>
        <w:t xml:space="preserve"> the indicators. </w:t>
      </w:r>
    </w:p>
    <w:p w14:paraId="46D85529" w14:textId="5AD05E8F" w:rsidR="0067124C" w:rsidRPr="00556BBB" w:rsidRDefault="00895915" w:rsidP="0067124C">
      <w:pPr>
        <w:pStyle w:val="Body"/>
      </w:pPr>
      <w:r>
        <w:t>Do this by</w:t>
      </w:r>
      <w:r w:rsidR="0067124C">
        <w:t xml:space="preserve"> collecting</w:t>
      </w:r>
      <w:r w:rsidR="0067124C" w:rsidRPr="00556BBB">
        <w:t xml:space="preserve"> and submitting updated </w:t>
      </w:r>
      <w:r w:rsidR="0067124C">
        <w:t>audit data</w:t>
      </w:r>
      <w:r w:rsidR="0067124C" w:rsidRPr="00556BBB">
        <w:t xml:space="preserve"> to the Commissioner</w:t>
      </w:r>
      <w:r w:rsidR="0067124C">
        <w:t xml:space="preserve"> and </w:t>
      </w:r>
      <w:r w:rsidR="0067124C" w:rsidRPr="00556BBB">
        <w:t>comparing</w:t>
      </w:r>
      <w:r w:rsidR="0067124C">
        <w:t xml:space="preserve"> this with your last audit</w:t>
      </w:r>
      <w:r w:rsidR="0067124C" w:rsidRPr="00556BBB">
        <w:t xml:space="preserve">. </w:t>
      </w:r>
    </w:p>
    <w:p w14:paraId="7447E2BA" w14:textId="555BEB32" w:rsidR="0067124C" w:rsidRDefault="0067124C" w:rsidP="0067124C">
      <w:pPr>
        <w:pStyle w:val="Body"/>
      </w:pPr>
      <w:r>
        <w:t xml:space="preserve">See the </w:t>
      </w:r>
      <w:r w:rsidR="00890BA2" w:rsidRPr="00F538C8">
        <w:rPr>
          <w:highlight w:val="lightGray"/>
        </w:rPr>
        <w:t>2026</w:t>
      </w:r>
      <w:r w:rsidRPr="00F538C8">
        <w:rPr>
          <w:highlight w:val="lightGray"/>
        </w:rPr>
        <w:t xml:space="preserve"> </w:t>
      </w:r>
      <w:r w:rsidR="000B1507" w:rsidRPr="00F538C8">
        <w:rPr>
          <w:highlight w:val="lightGray"/>
        </w:rPr>
        <w:t>Workplace gender audit guidance</w:t>
      </w:r>
      <w:r w:rsidRPr="00556BBB">
        <w:t xml:space="preserve"> </w:t>
      </w:r>
      <w:r>
        <w:t>for further guidance on:</w:t>
      </w:r>
    </w:p>
    <w:p w14:paraId="04D1FBCD" w14:textId="77777777" w:rsidR="0067124C" w:rsidRDefault="0067124C" w:rsidP="0067124C">
      <w:pPr>
        <w:pStyle w:val="Bullet1"/>
      </w:pPr>
      <w:r>
        <w:t xml:space="preserve">collecting the required and recommended information </w:t>
      </w:r>
    </w:p>
    <w:p w14:paraId="06B58F1D" w14:textId="77777777" w:rsidR="0067124C" w:rsidRDefault="0067124C" w:rsidP="0067124C">
      <w:pPr>
        <w:pStyle w:val="Bullet1"/>
      </w:pPr>
      <w:r>
        <w:t xml:space="preserve">submitting your audit. </w:t>
      </w:r>
    </w:p>
    <w:p w14:paraId="50048485" w14:textId="425AC551" w:rsidR="00895915" w:rsidRDefault="0067124C" w:rsidP="00895915">
      <w:pPr>
        <w:pStyle w:val="Bodyafterbullets"/>
        <w:rPr>
          <w:rFonts w:eastAsiaTheme="minorHAnsi" w:cstheme="minorBidi"/>
          <w:szCs w:val="22"/>
        </w:rPr>
      </w:pPr>
      <w:r>
        <w:rPr>
          <w:rFonts w:eastAsiaTheme="minorHAnsi" w:cstheme="minorBidi"/>
          <w:szCs w:val="22"/>
        </w:rPr>
        <w:t xml:space="preserve">You will then need to </w:t>
      </w:r>
      <w:r w:rsidR="000B1507" w:rsidRPr="00F538C8">
        <w:rPr>
          <w:rFonts w:eastAsiaTheme="minorHAnsi" w:cstheme="minorBidi"/>
          <w:szCs w:val="22"/>
          <w:highlight w:val="lightGray"/>
        </w:rPr>
        <w:t>analyse your progress audit data</w:t>
      </w:r>
      <w:r>
        <w:rPr>
          <w:rFonts w:eastAsiaTheme="minorHAnsi" w:cstheme="minorBidi"/>
          <w:szCs w:val="22"/>
        </w:rPr>
        <w:t xml:space="preserve"> and compare the results of your 2025 audit data with your 2023 audit data. </w:t>
      </w:r>
    </w:p>
    <w:p w14:paraId="78A841F0" w14:textId="36A5CCFE" w:rsidR="0067124C" w:rsidRDefault="0067124C" w:rsidP="00F538C8">
      <w:pPr>
        <w:pStyle w:val="Body"/>
        <w:rPr>
          <w:rFonts w:eastAsiaTheme="majorEastAsia" w:cstheme="majorBidi"/>
          <w:color w:val="5C308D"/>
          <w:sz w:val="36"/>
          <w:szCs w:val="26"/>
        </w:rPr>
      </w:pPr>
      <w:r>
        <w:t>You can also discuss the results of your 2021 audit data (optional) in steps 2.1 and 2.2.</w:t>
      </w:r>
    </w:p>
    <w:p w14:paraId="69F69A62" w14:textId="77777777" w:rsidR="0067124C" w:rsidRDefault="0067124C" w:rsidP="0067124C">
      <w:pPr>
        <w:pStyle w:val="Heading2"/>
      </w:pPr>
      <w:r>
        <w:t>2.1 Describing progress against the workplace gender equality indicators</w:t>
      </w:r>
    </w:p>
    <w:p w14:paraId="349CDA84" w14:textId="77777777" w:rsidR="0067124C" w:rsidRPr="00895915" w:rsidRDefault="0067124C" w:rsidP="00F538C8">
      <w:pPr>
        <w:pStyle w:val="Heading3"/>
      </w:pPr>
      <w:r>
        <w:t>Summary</w:t>
      </w:r>
    </w:p>
    <w:p w14:paraId="0077BBAB" w14:textId="77777777" w:rsidR="0067124C" w:rsidRDefault="0067124C" w:rsidP="00F538C8">
      <w:pPr>
        <w:pStyle w:val="Bullet1"/>
      </w:pPr>
      <w:r>
        <w:t>Refer to your progress data, ideally using</w:t>
      </w:r>
      <w:r w:rsidRPr="004C2543">
        <w:t xml:space="preserve"> the Commissioner’s </w:t>
      </w:r>
      <w:r>
        <w:t>measures for each indicator as a minimum (see details below).</w:t>
      </w:r>
    </w:p>
    <w:p w14:paraId="0C674E10" w14:textId="77777777" w:rsidR="0067124C" w:rsidRDefault="0067124C" w:rsidP="00F538C8">
      <w:pPr>
        <w:pStyle w:val="Bullet1"/>
      </w:pPr>
      <w:r>
        <w:t>Include comparative</w:t>
      </w:r>
      <w:r w:rsidRPr="00184C71">
        <w:t xml:space="preserve"> quantitative data </w:t>
      </w:r>
      <w:r>
        <w:t xml:space="preserve">from </w:t>
      </w:r>
      <w:r w:rsidRPr="00184C71">
        <w:t xml:space="preserve">your </w:t>
      </w:r>
      <w:r>
        <w:t>2025</w:t>
      </w:r>
      <w:r w:rsidRPr="00184C71">
        <w:t xml:space="preserve"> and 202</w:t>
      </w:r>
      <w:r>
        <w:t>3</w:t>
      </w:r>
      <w:r w:rsidRPr="00184C71">
        <w:t xml:space="preserve"> audits for each indicator (</w:t>
      </w:r>
      <w:r>
        <w:t>option to</w:t>
      </w:r>
      <w:r w:rsidRPr="00184C71">
        <w:t xml:space="preserve"> include 2021 data).</w:t>
      </w:r>
    </w:p>
    <w:p w14:paraId="722A8577" w14:textId="77777777" w:rsidR="0067124C" w:rsidRDefault="0067124C" w:rsidP="00F538C8">
      <w:pPr>
        <w:pStyle w:val="Bullet1"/>
      </w:pPr>
      <w:r>
        <w:t>Include at least one data point per indicator.</w:t>
      </w:r>
    </w:p>
    <w:p w14:paraId="4AA93BCC" w14:textId="5371D131" w:rsidR="0067124C" w:rsidRPr="00895915" w:rsidRDefault="00895915" w:rsidP="00F538C8">
      <w:pPr>
        <w:pStyle w:val="Heading3"/>
      </w:pPr>
      <w:r>
        <w:t>Instructions for completing the template</w:t>
      </w:r>
    </w:p>
    <w:tbl>
      <w:tblPr>
        <w:tblStyle w:val="TableGrid"/>
        <w:tblW w:w="9209" w:type="dxa"/>
        <w:tblLook w:val="04A0" w:firstRow="1" w:lastRow="0" w:firstColumn="1" w:lastColumn="0" w:noHBand="0" w:noVBand="1"/>
      </w:tblPr>
      <w:tblGrid>
        <w:gridCol w:w="1980"/>
        <w:gridCol w:w="7229"/>
      </w:tblGrid>
      <w:tr w:rsidR="0067124C" w:rsidRPr="008F0A02" w14:paraId="17FFFC10" w14:textId="77777777" w:rsidTr="00F538C8">
        <w:trPr>
          <w:tblHeader/>
        </w:trPr>
        <w:tc>
          <w:tcPr>
            <w:tcW w:w="1980" w:type="dxa"/>
            <w:shd w:val="clear" w:color="auto" w:fill="5C308D"/>
          </w:tcPr>
          <w:p w14:paraId="5967E237" w14:textId="77777777" w:rsidR="0067124C" w:rsidRPr="009E4CF0" w:rsidRDefault="0067124C" w:rsidP="007F6E03">
            <w:pPr>
              <w:pStyle w:val="Body"/>
              <w:rPr>
                <w:b/>
                <w:bCs/>
                <w:color w:val="FFFFFF" w:themeColor="background1"/>
              </w:rPr>
            </w:pPr>
            <w:r>
              <w:rPr>
                <w:b/>
                <w:bCs/>
                <w:color w:val="FFFFFF" w:themeColor="background1"/>
              </w:rPr>
              <w:t>Column</w:t>
            </w:r>
          </w:p>
        </w:tc>
        <w:tc>
          <w:tcPr>
            <w:tcW w:w="7229" w:type="dxa"/>
            <w:shd w:val="clear" w:color="auto" w:fill="5C308D"/>
          </w:tcPr>
          <w:p w14:paraId="015E4169" w14:textId="77777777" w:rsidR="0067124C" w:rsidRPr="009E4CF0" w:rsidRDefault="0067124C" w:rsidP="007F6E03">
            <w:pPr>
              <w:pStyle w:val="Body"/>
              <w:rPr>
                <w:b/>
                <w:bCs/>
                <w:color w:val="FFFFFF" w:themeColor="background1"/>
              </w:rPr>
            </w:pPr>
            <w:r w:rsidRPr="009E4CF0">
              <w:rPr>
                <w:b/>
                <w:bCs/>
                <w:color w:val="FFFFFF" w:themeColor="background1"/>
              </w:rPr>
              <w:t>Description</w:t>
            </w:r>
          </w:p>
        </w:tc>
      </w:tr>
      <w:tr w:rsidR="0067124C" w:rsidRPr="008F0A02" w14:paraId="6F32971C" w14:textId="77777777" w:rsidTr="007F6E03">
        <w:tc>
          <w:tcPr>
            <w:tcW w:w="1980" w:type="dxa"/>
          </w:tcPr>
          <w:p w14:paraId="5275BE04" w14:textId="77777777" w:rsidR="0067124C" w:rsidRPr="006C28BF" w:rsidRDefault="0067124C" w:rsidP="007F6E03">
            <w:pPr>
              <w:pStyle w:val="Body"/>
            </w:pPr>
            <w:r>
              <w:t xml:space="preserve">Indicator </w:t>
            </w:r>
          </w:p>
        </w:tc>
        <w:tc>
          <w:tcPr>
            <w:tcW w:w="7229" w:type="dxa"/>
          </w:tcPr>
          <w:p w14:paraId="5BEEB214" w14:textId="35B1DE33" w:rsidR="0067124C" w:rsidRDefault="0067124C" w:rsidP="00895915">
            <w:pPr>
              <w:pStyle w:val="Body"/>
            </w:pPr>
            <w:r>
              <w:t xml:space="preserve">This is prefilled in the template. It refers to the </w:t>
            </w:r>
            <w:r w:rsidRPr="00BC0814">
              <w:rPr>
                <w:highlight w:val="lightGray"/>
              </w:rPr>
              <w:t>workplace gender equality indicators</w:t>
            </w:r>
            <w:r>
              <w:t>. Do not change this column.</w:t>
            </w:r>
          </w:p>
        </w:tc>
      </w:tr>
      <w:tr w:rsidR="0067124C" w:rsidRPr="00373C25" w14:paraId="6EC57B26" w14:textId="77777777" w:rsidTr="007F6E03">
        <w:tc>
          <w:tcPr>
            <w:tcW w:w="1980" w:type="dxa"/>
          </w:tcPr>
          <w:p w14:paraId="02DBF1F4" w14:textId="77777777" w:rsidR="0067124C" w:rsidRPr="008F0A02" w:rsidRDefault="0067124C" w:rsidP="007F6E03">
            <w:pPr>
              <w:pStyle w:val="Body"/>
            </w:pPr>
            <w:r>
              <w:t>Progress data (</w:t>
            </w:r>
            <w:r w:rsidRPr="003E2C0A">
              <w:rPr>
                <w:b/>
                <w:bCs/>
              </w:rPr>
              <w:t>required</w:t>
            </w:r>
            <w:r>
              <w:t>)</w:t>
            </w:r>
          </w:p>
        </w:tc>
        <w:tc>
          <w:tcPr>
            <w:tcW w:w="7229" w:type="dxa"/>
          </w:tcPr>
          <w:p w14:paraId="4ADDDCF4" w14:textId="77777777" w:rsidR="0067124C" w:rsidRPr="0082466B" w:rsidRDefault="0067124C" w:rsidP="00F538C8">
            <w:pPr>
              <w:pStyle w:val="Bullet1"/>
            </w:pPr>
            <w:r>
              <w:t>Refer to your progress data, ideally using</w:t>
            </w:r>
            <w:r w:rsidRPr="004C2543">
              <w:t xml:space="preserve"> the Commissioner’s </w:t>
            </w:r>
            <w:r>
              <w:t xml:space="preserve">measures as a minimum. </w:t>
            </w:r>
          </w:p>
          <w:p w14:paraId="3C726924" w14:textId="4E948A37" w:rsidR="0067124C" w:rsidRDefault="0067124C" w:rsidP="00F538C8">
            <w:pPr>
              <w:pStyle w:val="Bullet1"/>
            </w:pPr>
            <w:r>
              <w:t>Include comparative data from your 2023 and 2025 audits (</w:t>
            </w:r>
            <w:r w:rsidRPr="00D8263A">
              <w:rPr>
                <w:b/>
                <w:bCs/>
              </w:rPr>
              <w:t>required</w:t>
            </w:r>
            <w:r>
              <w:t>)</w:t>
            </w:r>
            <w:r w:rsidR="00895915">
              <w:t>.</w:t>
            </w:r>
          </w:p>
          <w:p w14:paraId="0C385529" w14:textId="03A628A4" w:rsidR="0067124C" w:rsidRDefault="0067124C" w:rsidP="00F538C8">
            <w:pPr>
              <w:pStyle w:val="Bullet1"/>
            </w:pPr>
            <w:r>
              <w:t>Include at least one data point per indicator (</w:t>
            </w:r>
            <w:r>
              <w:rPr>
                <w:b/>
                <w:bCs/>
              </w:rPr>
              <w:t>required</w:t>
            </w:r>
            <w:r>
              <w:t>)</w:t>
            </w:r>
            <w:r w:rsidR="00895915">
              <w:t>.</w:t>
            </w:r>
          </w:p>
          <w:p w14:paraId="6827B985" w14:textId="1871D474" w:rsidR="0067124C" w:rsidRDefault="0067124C" w:rsidP="00F538C8">
            <w:pPr>
              <w:pStyle w:val="Bodyafterbullets"/>
            </w:pPr>
            <w:r w:rsidRPr="00A54744">
              <w:t xml:space="preserve">You </w:t>
            </w:r>
            <w:r w:rsidR="00895915">
              <w:t>must</w:t>
            </w:r>
            <w:r w:rsidRPr="00A54744">
              <w:t xml:space="preserve"> </w:t>
            </w:r>
            <w:r w:rsidRPr="00895915">
              <w:t>include</w:t>
            </w:r>
            <w:r w:rsidRPr="00A54744">
              <w:t xml:space="preserve"> comparative data from your 202</w:t>
            </w:r>
            <w:r>
              <w:t>3</w:t>
            </w:r>
            <w:r w:rsidRPr="00A54744">
              <w:t xml:space="preserve"> </w:t>
            </w:r>
            <w:r>
              <w:t xml:space="preserve">and 2025 </w:t>
            </w:r>
            <w:r w:rsidRPr="00A54744">
              <w:t xml:space="preserve">audits to demonstrate your progress against the indicators. </w:t>
            </w:r>
            <w:r>
              <w:t>You can also compare your 2023 and 2025 audit data with your 2021 audit data if you wish.</w:t>
            </w:r>
          </w:p>
          <w:p w14:paraId="570502EC" w14:textId="77777777" w:rsidR="0067124C" w:rsidRPr="00895915" w:rsidRDefault="0067124C" w:rsidP="00895915">
            <w:pPr>
              <w:pStyle w:val="Heading4"/>
            </w:pPr>
            <w:r>
              <w:t>Using the Commissioner’s measures (expected)</w:t>
            </w:r>
          </w:p>
          <w:p w14:paraId="687C1845" w14:textId="524D3CFE" w:rsidR="00895915" w:rsidRDefault="0067124C" w:rsidP="007F6E03">
            <w:pPr>
              <w:pStyle w:val="Body"/>
            </w:pPr>
            <w:r>
              <w:t xml:space="preserve">Your workplace gender audit includes data </w:t>
            </w:r>
            <w:r w:rsidR="00895915">
              <w:t xml:space="preserve">for </w:t>
            </w:r>
            <w:r>
              <w:t xml:space="preserve">each indicator. </w:t>
            </w:r>
          </w:p>
          <w:p w14:paraId="764E0F3E" w14:textId="75898DB1" w:rsidR="0067124C" w:rsidRDefault="0067124C" w:rsidP="007F6E03">
            <w:pPr>
              <w:pStyle w:val="Body"/>
            </w:pPr>
            <w:r>
              <w:t xml:space="preserve">The Commissioner has identified key measures that represent the minimum information </w:t>
            </w:r>
            <w:r w:rsidR="008955C4">
              <w:t>she</w:t>
            </w:r>
            <w:r w:rsidR="00895915">
              <w:t xml:space="preserve"> will use to</w:t>
            </w:r>
            <w:r>
              <w:t xml:space="preserve"> assess your progress report for compliance.</w:t>
            </w:r>
          </w:p>
          <w:p w14:paraId="2BABB2DD" w14:textId="77777777" w:rsidR="0067124C" w:rsidRDefault="0067124C" w:rsidP="007F6E03">
            <w:pPr>
              <w:pStyle w:val="Body"/>
            </w:pPr>
            <w:r>
              <w:t>Referring to progress data from your 2023 and 2025 audits using the Commissioner’s measures will ensure she is able to assess your progress report effectively. These measures are a minimum standard against each indicator.</w:t>
            </w:r>
          </w:p>
          <w:p w14:paraId="38C31F5A" w14:textId="11699C1B" w:rsidR="00E55E8E" w:rsidRDefault="00EE4AD9" w:rsidP="007F6E03">
            <w:pPr>
              <w:pStyle w:val="Body"/>
            </w:pPr>
            <w:commentRangeStart w:id="13"/>
            <w:r w:rsidRPr="00F538C8">
              <w:rPr>
                <w:highlight w:val="yellow"/>
              </w:rPr>
              <w:t>[Please note that the Commissioner will be recommending minimum data points for duty holders to include from their 2023 and 2025 audits</w:t>
            </w:r>
            <w:r w:rsidR="0031674E" w:rsidRPr="00F538C8">
              <w:rPr>
                <w:highlight w:val="yellow"/>
              </w:rPr>
              <w:t xml:space="preserve">, </w:t>
            </w:r>
            <w:r w:rsidR="00BC7AD1">
              <w:rPr>
                <w:highlight w:val="yellow"/>
              </w:rPr>
              <w:t>so that they can</w:t>
            </w:r>
            <w:r w:rsidR="0031674E" w:rsidRPr="00F538C8">
              <w:rPr>
                <w:highlight w:val="yellow"/>
              </w:rPr>
              <w:t xml:space="preserve"> effectively demonstrate progress</w:t>
            </w:r>
            <w:r w:rsidRPr="00F538C8">
              <w:rPr>
                <w:highlight w:val="yellow"/>
              </w:rPr>
              <w:t>. These are currently being finalised and will be published along with the guidance in May.]</w:t>
            </w:r>
            <w:commentRangeEnd w:id="13"/>
            <w:r w:rsidR="00D915A3">
              <w:rPr>
                <w:rStyle w:val="CommentReference"/>
              </w:rPr>
              <w:commentReference w:id="13"/>
            </w:r>
          </w:p>
          <w:p w14:paraId="24060D0C" w14:textId="77777777" w:rsidR="0067124C" w:rsidRPr="005B6ECF" w:rsidRDefault="0067124C" w:rsidP="007F6E03">
            <w:pPr>
              <w:pStyle w:val="Heading4"/>
            </w:pPr>
            <w:r>
              <w:t>Using alternative measures (not recommended)</w:t>
            </w:r>
          </w:p>
          <w:p w14:paraId="172F4CC5" w14:textId="693BF175" w:rsidR="0067124C" w:rsidRDefault="0067124C" w:rsidP="007F6E03">
            <w:pPr>
              <w:pStyle w:val="Body"/>
            </w:pPr>
            <w:r>
              <w:t xml:space="preserve">You </w:t>
            </w:r>
            <w:r w:rsidR="00895915">
              <w:t xml:space="preserve">may </w:t>
            </w:r>
            <w:r>
              <w:t xml:space="preserve">use different quantitative data measures that you think better demonstrate your progress against the indicators. However, the Commissioner recommends that you use these in addition to </w:t>
            </w:r>
            <w:r w:rsidR="00895915">
              <w:t xml:space="preserve">the </w:t>
            </w:r>
            <w:r>
              <w:t xml:space="preserve">expected measures. </w:t>
            </w:r>
          </w:p>
          <w:p w14:paraId="0CA0D904" w14:textId="3BAB16C1" w:rsidR="0067124C" w:rsidRDefault="0067124C" w:rsidP="007F6E03">
            <w:pPr>
              <w:pStyle w:val="Body"/>
            </w:pPr>
            <w:r>
              <w:t>If you choose to provide different progress data, you must still include comparative quantitative data from your 2023 and 2025 audits to demonstrate compliance.</w:t>
            </w:r>
          </w:p>
          <w:p w14:paraId="11B231D1" w14:textId="77777777" w:rsidR="0067124C" w:rsidRDefault="0067124C" w:rsidP="007F6E03">
            <w:pPr>
              <w:pStyle w:val="Body"/>
            </w:pPr>
            <w:r>
              <w:t>You must compare the same data points from your 2023 audit and your 2025 audit. This will help you determine if reasonable and material progress has (or has not) been made, which you will need to discuss in the next column.</w:t>
            </w:r>
          </w:p>
          <w:p w14:paraId="7C2DDDB6" w14:textId="77777777" w:rsidR="0067124C" w:rsidRDefault="0067124C" w:rsidP="007F6E03">
            <w:pPr>
              <w:pStyle w:val="Heading4"/>
            </w:pPr>
            <w:r>
              <w:t>Advice for demonstrating compliance</w:t>
            </w:r>
          </w:p>
          <w:p w14:paraId="069F9791" w14:textId="77777777" w:rsidR="0067124C" w:rsidRDefault="0067124C" w:rsidP="007F6E03">
            <w:pPr>
              <w:pStyle w:val="Body"/>
            </w:pPr>
            <w:r>
              <w:t>You must include sufficient data from your 2023 and 2025 audits to demonstrate progress against each indicator. This means including both:</w:t>
            </w:r>
          </w:p>
          <w:p w14:paraId="33864050" w14:textId="77777777" w:rsidR="0067124C" w:rsidRDefault="0067124C" w:rsidP="007F6E03">
            <w:pPr>
              <w:pStyle w:val="Bullet1"/>
            </w:pPr>
            <w:r>
              <w:t>comparative quantitative data from your 2023 and 2025 audits.</w:t>
            </w:r>
          </w:p>
          <w:p w14:paraId="405DFE1A" w14:textId="77777777" w:rsidR="0067124C" w:rsidRDefault="0067124C" w:rsidP="007F6E03">
            <w:pPr>
              <w:pStyle w:val="Bullet1"/>
            </w:pPr>
            <w:r>
              <w:t>Where possible, at least two measures from your 2023 and 2025 audits.</w:t>
            </w:r>
            <w:r>
              <w:rPr>
                <w:rStyle w:val="FootnoteReference"/>
              </w:rPr>
              <w:footnoteReference w:id="5"/>
            </w:r>
            <w:r>
              <w:t xml:space="preserve"> </w:t>
            </w:r>
          </w:p>
          <w:p w14:paraId="5AEB296F" w14:textId="5177B8F2" w:rsidR="0067124C" w:rsidRPr="009D6FB9" w:rsidRDefault="0067124C" w:rsidP="001B092E">
            <w:pPr>
              <w:pStyle w:val="Body"/>
            </w:pPr>
            <w:r w:rsidRPr="009D6FB9">
              <w:t>If you do not include sufficient audit data, you may not be able to demonstrate progress (or lack of progress) during the relevant period. This could result in an outcome of ‘compliance not demonstrated’ for this requirement.</w:t>
            </w:r>
          </w:p>
          <w:p w14:paraId="0AA17300" w14:textId="77777777" w:rsidR="0067124C" w:rsidRPr="00373C25" w:rsidRDefault="0067124C" w:rsidP="007F6E03">
            <w:pPr>
              <w:pStyle w:val="NoSpacing"/>
            </w:pPr>
          </w:p>
        </w:tc>
      </w:tr>
      <w:tr w:rsidR="0067124C" w:rsidRPr="00C94940" w14:paraId="5BCB6F72" w14:textId="77777777" w:rsidTr="007F6E03">
        <w:trPr>
          <w:trHeight w:val="860"/>
        </w:trPr>
        <w:tc>
          <w:tcPr>
            <w:tcW w:w="1980" w:type="dxa"/>
          </w:tcPr>
          <w:p w14:paraId="29124AD4" w14:textId="77777777" w:rsidR="0067124C" w:rsidRPr="008F0A02" w:rsidRDefault="0067124C" w:rsidP="007F6E03">
            <w:pPr>
              <w:pStyle w:val="Body"/>
            </w:pPr>
            <w:r>
              <w:t>Additional progress data (</w:t>
            </w:r>
            <w:r w:rsidRPr="003E2C0A">
              <w:rPr>
                <w:b/>
                <w:bCs/>
              </w:rPr>
              <w:t>recommended</w:t>
            </w:r>
            <w:r>
              <w:t>)</w:t>
            </w:r>
          </w:p>
        </w:tc>
        <w:tc>
          <w:tcPr>
            <w:tcW w:w="7229" w:type="dxa"/>
          </w:tcPr>
          <w:p w14:paraId="3DCD81C1" w14:textId="2D94D09E" w:rsidR="0067124C" w:rsidRDefault="0067124C" w:rsidP="00F538C8">
            <w:pPr>
              <w:pStyle w:val="Bullet1"/>
            </w:pPr>
            <w:r>
              <w:t>Include progress data in addition to the Commissioner’s measures</w:t>
            </w:r>
            <w:r w:rsidR="00895915">
              <w:t>. This may include:</w:t>
            </w:r>
          </w:p>
          <w:p w14:paraId="2A025E83" w14:textId="7D07452C" w:rsidR="0067124C" w:rsidRPr="00895915" w:rsidRDefault="0067124C" w:rsidP="00F538C8">
            <w:pPr>
              <w:pStyle w:val="Bullet2"/>
            </w:pPr>
            <w:proofErr w:type="gramStart"/>
            <w:r w:rsidRPr="00895915">
              <w:t>particular areas</w:t>
            </w:r>
            <w:proofErr w:type="gramEnd"/>
            <w:r w:rsidRPr="00895915">
              <w:t xml:space="preserve"> where progress has been made on the indicator</w:t>
            </w:r>
          </w:p>
          <w:p w14:paraId="37F09A50" w14:textId="5F1794C9" w:rsidR="0067124C" w:rsidRPr="00895915" w:rsidRDefault="0067124C" w:rsidP="00F538C8">
            <w:pPr>
              <w:pStyle w:val="Bullet2"/>
            </w:pPr>
            <w:r w:rsidRPr="00895915">
              <w:t>areas where more attention is needed</w:t>
            </w:r>
          </w:p>
          <w:p w14:paraId="245CB6EC" w14:textId="58B471D8" w:rsidR="0067124C" w:rsidRPr="00895915" w:rsidRDefault="00895915" w:rsidP="00F538C8">
            <w:pPr>
              <w:pStyle w:val="Bullet2"/>
            </w:pPr>
            <w:r>
              <w:t>giving</w:t>
            </w:r>
            <w:r w:rsidR="0067124C" w:rsidRPr="00895915">
              <w:t xml:space="preserve"> a more complete picture of your progress on the indicator</w:t>
            </w:r>
          </w:p>
          <w:p w14:paraId="13E236A2" w14:textId="1D804071" w:rsidR="0067124C" w:rsidRPr="00895915" w:rsidRDefault="0067124C" w:rsidP="00F538C8">
            <w:pPr>
              <w:pStyle w:val="Bullet2"/>
            </w:pPr>
            <w:r w:rsidRPr="00895915">
              <w:t>intersectional data in relation to progress on the indicator.</w:t>
            </w:r>
          </w:p>
          <w:p w14:paraId="68568F7C" w14:textId="77777777" w:rsidR="0067124C" w:rsidRPr="008F52E7" w:rsidRDefault="0067124C" w:rsidP="007F6E03">
            <w:pPr>
              <w:pStyle w:val="NoSpacing"/>
            </w:pPr>
          </w:p>
        </w:tc>
      </w:tr>
      <w:tr w:rsidR="0067124C" w:rsidRPr="0063653D" w14:paraId="08C52CF7" w14:textId="77777777" w:rsidTr="007F6E03">
        <w:tc>
          <w:tcPr>
            <w:tcW w:w="1980" w:type="dxa"/>
          </w:tcPr>
          <w:p w14:paraId="267F5BBB" w14:textId="77777777" w:rsidR="0067124C" w:rsidRPr="008F0A02" w:rsidRDefault="0067124C" w:rsidP="007F6E03">
            <w:pPr>
              <w:pStyle w:val="Body"/>
            </w:pPr>
            <w:r>
              <w:t>Has progress been made? (</w:t>
            </w:r>
            <w:r w:rsidRPr="003E2C0A">
              <w:rPr>
                <w:b/>
                <w:bCs/>
              </w:rPr>
              <w:t>required</w:t>
            </w:r>
            <w:r>
              <w:t>)</w:t>
            </w:r>
          </w:p>
        </w:tc>
        <w:tc>
          <w:tcPr>
            <w:tcW w:w="7229" w:type="dxa"/>
          </w:tcPr>
          <w:p w14:paraId="7EEEDD50" w14:textId="77777777" w:rsidR="0067124C" w:rsidRDefault="0067124C" w:rsidP="00F538C8">
            <w:pPr>
              <w:pStyle w:val="Bullet1"/>
            </w:pPr>
            <w:r>
              <w:t xml:space="preserve">Select yes or no from the drop-down to indicate </w:t>
            </w:r>
            <w:r w:rsidRPr="00930A2C">
              <w:t xml:space="preserve">whether </w:t>
            </w:r>
            <w:r>
              <w:t xml:space="preserve">you believe </w:t>
            </w:r>
            <w:r w:rsidRPr="00930A2C">
              <w:t xml:space="preserve">your organisation has made </w:t>
            </w:r>
            <w:r>
              <w:t xml:space="preserve">numerical </w:t>
            </w:r>
            <w:r w:rsidRPr="00930A2C">
              <w:t xml:space="preserve">progress against </w:t>
            </w:r>
            <w:r>
              <w:t xml:space="preserve">each </w:t>
            </w:r>
            <w:r w:rsidRPr="00930A2C">
              <w:t>indicator</w:t>
            </w:r>
            <w:r>
              <w:t>.</w:t>
            </w:r>
          </w:p>
          <w:p w14:paraId="2CAD31BC" w14:textId="77777777" w:rsidR="0067124C" w:rsidRDefault="0067124C" w:rsidP="00F538C8">
            <w:pPr>
              <w:pStyle w:val="Bullet1"/>
            </w:pPr>
            <w:r>
              <w:t xml:space="preserve">If you have not made </w:t>
            </w:r>
            <w:r w:rsidRPr="00895915">
              <w:t>numerical</w:t>
            </w:r>
            <w:r>
              <w:t xml:space="preserve"> progress, you can still achieve compliance by providing further information in step 4. This includes information about the factors that limited your progress, or the strategies implemented to drive progress.</w:t>
            </w:r>
          </w:p>
          <w:p w14:paraId="0B59D3E4" w14:textId="77777777" w:rsidR="0067124C" w:rsidRDefault="0067124C" w:rsidP="007F6E03">
            <w:pPr>
              <w:pStyle w:val="Heading4"/>
            </w:pPr>
            <w:r>
              <w:t>Stable progress</w:t>
            </w:r>
          </w:p>
          <w:p w14:paraId="10227619" w14:textId="77777777" w:rsidR="0067124C" w:rsidRDefault="0067124C" w:rsidP="007F6E03">
            <w:pPr>
              <w:pStyle w:val="Body"/>
            </w:pPr>
            <w:r>
              <w:t>If your quantitative data on an indicator has remained stable between your 2023 and 2025 audit:</w:t>
            </w:r>
          </w:p>
          <w:p w14:paraId="15194D44" w14:textId="77777777" w:rsidR="0067124C" w:rsidRDefault="0067124C" w:rsidP="007F6E03">
            <w:pPr>
              <w:pStyle w:val="Bullet1"/>
            </w:pPr>
            <w:r>
              <w:t>select no</w:t>
            </w:r>
          </w:p>
          <w:p w14:paraId="06B5D551" w14:textId="77777777" w:rsidR="0067124C" w:rsidRPr="0063653D" w:rsidRDefault="0067124C" w:rsidP="007F6E03">
            <w:pPr>
              <w:pStyle w:val="Bullet1"/>
            </w:pPr>
            <w:r>
              <w:t>see further guidance on how to interpret stable data under ‘</w:t>
            </w:r>
            <w:r w:rsidRPr="00D00D8E">
              <w:rPr>
                <w:highlight w:val="lightGray"/>
              </w:rPr>
              <w:t>How to interpret stable data’</w:t>
            </w:r>
            <w:r>
              <w:t>.</w:t>
            </w:r>
          </w:p>
        </w:tc>
      </w:tr>
      <w:tr w:rsidR="0067124C" w:rsidRPr="001317C7" w14:paraId="7F00AB88" w14:textId="77777777" w:rsidTr="00F538C8">
        <w:tc>
          <w:tcPr>
            <w:tcW w:w="1980" w:type="dxa"/>
          </w:tcPr>
          <w:p w14:paraId="0F5ABD7A" w14:textId="77777777" w:rsidR="0067124C" w:rsidRPr="008F0A02" w:rsidRDefault="0067124C" w:rsidP="007F6E03">
            <w:pPr>
              <w:pStyle w:val="Body"/>
            </w:pPr>
            <w:r w:rsidRPr="003E2C0A">
              <w:t xml:space="preserve">Explain how the data does </w:t>
            </w:r>
            <w:r>
              <w:t>(</w:t>
            </w:r>
            <w:r w:rsidRPr="003E2C0A">
              <w:t>or does not</w:t>
            </w:r>
            <w:r>
              <w:t>)</w:t>
            </w:r>
            <w:r w:rsidRPr="003E2C0A">
              <w:t xml:space="preserve"> demonstrate progress </w:t>
            </w:r>
            <w:r>
              <w:t>(</w:t>
            </w:r>
            <w:r w:rsidRPr="003E2C0A">
              <w:rPr>
                <w:b/>
                <w:bCs/>
              </w:rPr>
              <w:t>required</w:t>
            </w:r>
            <w:r>
              <w:t>)</w:t>
            </w:r>
          </w:p>
        </w:tc>
        <w:tc>
          <w:tcPr>
            <w:tcW w:w="7229" w:type="dxa"/>
          </w:tcPr>
          <w:p w14:paraId="27239836" w14:textId="77777777" w:rsidR="0067124C" w:rsidRPr="00967927" w:rsidRDefault="0067124C" w:rsidP="00F538C8">
            <w:pPr>
              <w:pStyle w:val="Bullet1"/>
            </w:pPr>
            <w:r>
              <w:t>E</w:t>
            </w:r>
            <w:r w:rsidRPr="00930A2C">
              <w:t xml:space="preserve">xplain why changes in your data </w:t>
            </w:r>
            <w:r>
              <w:t xml:space="preserve">provided in the progress data column(s) </w:t>
            </w:r>
            <w:r w:rsidRPr="00930A2C">
              <w:t>do or do not represent progress against each indicator.</w:t>
            </w:r>
          </w:p>
          <w:p w14:paraId="1B930D83" w14:textId="77777777" w:rsidR="0067124C" w:rsidRDefault="0067124C" w:rsidP="00F538C8">
            <w:pPr>
              <w:pStyle w:val="Bullet1"/>
            </w:pPr>
            <w:r>
              <w:t>Refer</w:t>
            </w:r>
            <w:r w:rsidRPr="00FD2717">
              <w:t xml:space="preserve"> to </w:t>
            </w:r>
            <w:r>
              <w:t>the</w:t>
            </w:r>
            <w:r w:rsidRPr="00FD2717">
              <w:t xml:space="preserve"> quantitative changes in the data </w:t>
            </w:r>
            <w:r>
              <w:t xml:space="preserve">you provided from your 2023 and 2025 </w:t>
            </w:r>
            <w:r w:rsidRPr="00FD2717">
              <w:t>audit.</w:t>
            </w:r>
            <w:r>
              <w:t xml:space="preserve"> You can also refer to data from your 2021 audit if relevant.</w:t>
            </w:r>
            <w:r w:rsidRPr="00FD2717">
              <w:t xml:space="preserve"> </w:t>
            </w:r>
          </w:p>
          <w:p w14:paraId="737A0F69" w14:textId="77777777" w:rsidR="0067124C" w:rsidRDefault="0067124C" w:rsidP="007F6E03">
            <w:pPr>
              <w:pStyle w:val="Heading4"/>
            </w:pPr>
            <w:r>
              <w:t>Stable progress</w:t>
            </w:r>
          </w:p>
          <w:p w14:paraId="2CAE3185" w14:textId="77777777" w:rsidR="0067124C" w:rsidRDefault="0067124C" w:rsidP="007F6E03">
            <w:pPr>
              <w:pStyle w:val="Body"/>
            </w:pPr>
            <w:r>
              <w:t>Your quantitative data on an indicator may have remained stable between your 2023 and 2025 audit. If this is the case, consider:</w:t>
            </w:r>
          </w:p>
          <w:p w14:paraId="31AE9741" w14:textId="77777777" w:rsidR="0067124C" w:rsidRDefault="0067124C" w:rsidP="007F6E03">
            <w:pPr>
              <w:pStyle w:val="Bullet1"/>
            </w:pPr>
            <w:r>
              <w:t>If you had already achieved gender equality on the indicator in 2023 and therefore did not need to make any further progress, then note this.</w:t>
            </w:r>
          </w:p>
          <w:p w14:paraId="11ED6D96" w14:textId="77777777" w:rsidR="0067124C" w:rsidRDefault="0067124C" w:rsidP="007F6E03">
            <w:pPr>
              <w:pStyle w:val="Bullet1"/>
            </w:pPr>
            <w:r>
              <w:t>If you have not achieved gender equality on the indicator, acknowledge that there is still work to do.</w:t>
            </w:r>
          </w:p>
          <w:p w14:paraId="5C91C638" w14:textId="77777777" w:rsidR="0067124C" w:rsidRPr="00B968DB" w:rsidRDefault="0067124C" w:rsidP="007F6E03">
            <w:pPr>
              <w:pStyle w:val="Body"/>
            </w:pPr>
            <w:r>
              <w:t>Further guidance on how to interpret stable data can be found under ‘</w:t>
            </w:r>
            <w:r w:rsidRPr="00652A4A">
              <w:rPr>
                <w:highlight w:val="lightGray"/>
              </w:rPr>
              <w:t>How to interpret stable data’</w:t>
            </w:r>
            <w:r>
              <w:t>.</w:t>
            </w:r>
          </w:p>
          <w:p w14:paraId="5F6E2B0F" w14:textId="77777777" w:rsidR="0067124C" w:rsidRDefault="0067124C" w:rsidP="007F6E03">
            <w:pPr>
              <w:pStyle w:val="Heading4"/>
            </w:pPr>
            <w:r>
              <w:t>No quantitative progress</w:t>
            </w:r>
          </w:p>
          <w:p w14:paraId="2076BAB0" w14:textId="77777777" w:rsidR="0067124C" w:rsidRDefault="0067124C" w:rsidP="007F6E03">
            <w:pPr>
              <w:pStyle w:val="Body"/>
            </w:pPr>
            <w:r>
              <w:t xml:space="preserve">If you have not made numerical progress for reasonable reasons, this will be </w:t>
            </w:r>
            <w:proofErr w:type="gramStart"/>
            <w:r>
              <w:t>taken into account</w:t>
            </w:r>
            <w:proofErr w:type="gramEnd"/>
            <w:r>
              <w:t xml:space="preserve"> when your progress report is being assessed for compliance. You can still achieve compliance if you have not made numerical progress.</w:t>
            </w:r>
          </w:p>
          <w:p w14:paraId="331D1D7A" w14:textId="5E045EDE" w:rsidR="0067124C" w:rsidRPr="001A0441" w:rsidRDefault="0067124C" w:rsidP="007F6E03">
            <w:pPr>
              <w:pStyle w:val="Body"/>
            </w:pPr>
            <w:r>
              <w:t xml:space="preserve">You can identify and discuss these reasons in </w:t>
            </w:r>
            <w:r w:rsidRPr="00DF69F4">
              <w:rPr>
                <w:highlight w:val="lightGray"/>
              </w:rPr>
              <w:t>2.2 Describing factors contributing to or inhibiting progress</w:t>
            </w:r>
            <w:r>
              <w:t>. You can also identify and discuss your GEAP strategies that contributed to the progress (or lack of progress) against each indicator.</w:t>
            </w:r>
          </w:p>
        </w:tc>
      </w:tr>
    </w:tbl>
    <w:p w14:paraId="33AF4698" w14:textId="77777777" w:rsidR="0067124C" w:rsidRDefault="0067124C" w:rsidP="0067124C">
      <w:pPr>
        <w:pStyle w:val="Heading3"/>
      </w:pPr>
      <w:r>
        <w:t xml:space="preserve">How to interpret stable </w:t>
      </w:r>
      <w:r w:rsidRPr="006D2093">
        <w:t xml:space="preserve">data </w:t>
      </w:r>
      <w:r>
        <w:t>(further guidance)</w:t>
      </w:r>
    </w:p>
    <w:p w14:paraId="66340C49" w14:textId="77777777" w:rsidR="0067124C" w:rsidRDefault="0067124C" w:rsidP="00F538C8">
      <w:pPr>
        <w:pStyle w:val="Body"/>
      </w:pPr>
      <w:r>
        <w:t xml:space="preserve">If your data has remained stable between your </w:t>
      </w:r>
      <w:r w:rsidRPr="00895915">
        <w:t>2023</w:t>
      </w:r>
      <w:r>
        <w:t xml:space="preserve"> and 2025 audits, this could mean that:</w:t>
      </w:r>
    </w:p>
    <w:p w14:paraId="75C828E7" w14:textId="77777777" w:rsidR="0067124C" w:rsidRDefault="0067124C" w:rsidP="0067124C">
      <w:pPr>
        <w:pStyle w:val="Bullet1"/>
      </w:pPr>
      <w:r>
        <w:t>You had achieved gender equality</w:t>
      </w:r>
      <w:r w:rsidRPr="006D2093">
        <w:t xml:space="preserve"> on </w:t>
      </w:r>
      <w:r>
        <w:t>this indicator in 2023</w:t>
      </w:r>
    </w:p>
    <w:p w14:paraId="1AD624B3" w14:textId="77777777" w:rsidR="0067124C" w:rsidRDefault="0067124C" w:rsidP="0067124C">
      <w:pPr>
        <w:pStyle w:val="Bullet1"/>
      </w:pPr>
      <w:r>
        <w:t>There is still work to do, and you are not making numerical progress. This does not mean that you cannot achieve compliance on this indicator.</w:t>
      </w:r>
    </w:p>
    <w:p w14:paraId="5F04824A" w14:textId="77777777" w:rsidR="0067124C" w:rsidRPr="0046588E" w:rsidRDefault="0067124C" w:rsidP="00F538C8">
      <w:pPr>
        <w:pStyle w:val="Bodyafterbullets"/>
      </w:pPr>
      <w:r>
        <w:t xml:space="preserve">The example scenarios below explain these two situations for </w:t>
      </w:r>
      <w:r w:rsidRPr="006D2093">
        <w:t>indicator 1</w:t>
      </w:r>
      <w:r>
        <w:t>: gender</w:t>
      </w:r>
      <w:r w:rsidRPr="006D2093">
        <w:t xml:space="preserve"> composition of all levels </w:t>
      </w:r>
      <w:r>
        <w:t xml:space="preserve">of </w:t>
      </w:r>
      <w:r w:rsidRPr="006D2093">
        <w:t>the workforce</w:t>
      </w:r>
      <w:r>
        <w:t>.</w:t>
      </w:r>
    </w:p>
    <w:p w14:paraId="4B073E5A" w14:textId="77777777" w:rsidR="0067124C" w:rsidRPr="006D2093" w:rsidRDefault="0067124C" w:rsidP="0067124C">
      <w:pPr>
        <w:pStyle w:val="Heading3"/>
      </w:pPr>
      <w:r>
        <w:t>Example scenarios</w:t>
      </w:r>
    </w:p>
    <w:tbl>
      <w:tblPr>
        <w:tblStyle w:val="TableGrid"/>
        <w:tblW w:w="0" w:type="auto"/>
        <w:tblLook w:val="04A0" w:firstRow="1" w:lastRow="0" w:firstColumn="1" w:lastColumn="0" w:noHBand="0" w:noVBand="1"/>
      </w:tblPr>
      <w:tblGrid>
        <w:gridCol w:w="3256"/>
        <w:gridCol w:w="5760"/>
      </w:tblGrid>
      <w:tr w:rsidR="0067124C" w14:paraId="2946AE6A" w14:textId="77777777" w:rsidTr="00F538C8">
        <w:trPr>
          <w:tblHeader/>
        </w:trPr>
        <w:tc>
          <w:tcPr>
            <w:tcW w:w="3256" w:type="dxa"/>
            <w:shd w:val="clear" w:color="auto" w:fill="5C308D"/>
          </w:tcPr>
          <w:p w14:paraId="6FEFEAFE" w14:textId="77777777" w:rsidR="0067124C" w:rsidRPr="00F538C8" w:rsidRDefault="0067124C" w:rsidP="00F538C8">
            <w:pPr>
              <w:pStyle w:val="Body"/>
              <w:rPr>
                <w:b/>
                <w:bCs/>
                <w:color w:val="FFFFFF" w:themeColor="background1"/>
              </w:rPr>
            </w:pPr>
            <w:r w:rsidRPr="00F538C8">
              <w:rPr>
                <w:b/>
                <w:bCs/>
                <w:color w:val="FFFFFF" w:themeColor="background1"/>
              </w:rPr>
              <w:t xml:space="preserve">Scenario </w:t>
            </w:r>
          </w:p>
        </w:tc>
        <w:tc>
          <w:tcPr>
            <w:tcW w:w="5760" w:type="dxa"/>
            <w:shd w:val="clear" w:color="auto" w:fill="5C308D"/>
          </w:tcPr>
          <w:p w14:paraId="62170C7B" w14:textId="77777777" w:rsidR="0067124C" w:rsidRPr="00F538C8" w:rsidRDefault="0067124C" w:rsidP="00F538C8">
            <w:pPr>
              <w:pStyle w:val="Body"/>
              <w:rPr>
                <w:b/>
                <w:bCs/>
                <w:color w:val="FFFFFF" w:themeColor="background1"/>
              </w:rPr>
            </w:pPr>
            <w:r w:rsidRPr="00F538C8">
              <w:rPr>
                <w:b/>
                <w:bCs/>
                <w:color w:val="FFFFFF" w:themeColor="background1"/>
              </w:rPr>
              <w:t>Action</w:t>
            </w:r>
          </w:p>
        </w:tc>
      </w:tr>
      <w:tr w:rsidR="0067124C" w14:paraId="51381F97" w14:textId="77777777" w:rsidTr="007F6E03">
        <w:tc>
          <w:tcPr>
            <w:tcW w:w="3256" w:type="dxa"/>
          </w:tcPr>
          <w:p w14:paraId="179DE949" w14:textId="77777777" w:rsidR="0067124C" w:rsidRPr="00F538C8" w:rsidRDefault="0067124C" w:rsidP="00F538C8">
            <w:pPr>
              <w:pStyle w:val="Body"/>
              <w:rPr>
                <w:b/>
                <w:bCs/>
              </w:rPr>
            </w:pPr>
            <w:r w:rsidRPr="00FE56DE">
              <w:rPr>
                <w:b/>
                <w:bCs/>
              </w:rPr>
              <w:t>Gender equality not achieved.</w:t>
            </w:r>
          </w:p>
          <w:p w14:paraId="200B41A8" w14:textId="77777777" w:rsidR="0067124C" w:rsidRPr="00FE56DE" w:rsidRDefault="0067124C" w:rsidP="00F538C8">
            <w:pPr>
              <w:pStyle w:val="Body"/>
            </w:pPr>
            <w:r w:rsidRPr="00FE56DE">
              <w:t xml:space="preserve">Your data on this indicator has remained stable between your 2023 and 2025 audit. </w:t>
            </w:r>
          </w:p>
          <w:p w14:paraId="6AE27CFB" w14:textId="77777777" w:rsidR="0067124C" w:rsidRPr="00FE56DE" w:rsidRDefault="0067124C" w:rsidP="00F538C8">
            <w:pPr>
              <w:pStyle w:val="Body"/>
            </w:pPr>
            <w:r w:rsidRPr="00FE56DE">
              <w:t>However, the gender composition throughout your organisation is heavily skewed towards one gender or another.</w:t>
            </w:r>
          </w:p>
        </w:tc>
        <w:tc>
          <w:tcPr>
            <w:tcW w:w="5760" w:type="dxa"/>
          </w:tcPr>
          <w:p w14:paraId="0DE196CF" w14:textId="77777777" w:rsidR="0067124C" w:rsidRPr="00895915" w:rsidRDefault="0067124C" w:rsidP="00F538C8">
            <w:pPr>
              <w:pStyle w:val="Body"/>
            </w:pPr>
            <w:r w:rsidRPr="00895915">
              <w:t>Select ‘no’ in column D. You have not made progress, and you have not achieved gender equality.</w:t>
            </w:r>
          </w:p>
          <w:p w14:paraId="22632CC9" w14:textId="77777777" w:rsidR="0067124C" w:rsidRPr="00FE56DE" w:rsidRDefault="0067124C" w:rsidP="00F538C8">
            <w:pPr>
              <w:pStyle w:val="Body"/>
            </w:pPr>
            <w:r w:rsidRPr="00FE56DE">
              <w:t>In column E, explain why your data shows that y</w:t>
            </w:r>
            <w:r w:rsidRPr="00895915">
              <w:t>ou have not made progress and that you have not achieved gender equality. A</w:t>
            </w:r>
            <w:r w:rsidRPr="00FE56DE">
              <w:t>cknowledge that there is work to be done.</w:t>
            </w:r>
          </w:p>
          <w:p w14:paraId="51B9ED97" w14:textId="77777777" w:rsidR="0067124C" w:rsidRPr="00FE56DE" w:rsidRDefault="0067124C" w:rsidP="00F538C8">
            <w:pPr>
              <w:pStyle w:val="Body"/>
            </w:pPr>
            <w:r w:rsidRPr="00FE56DE">
              <w:t>In step 4, you can provide further context about:</w:t>
            </w:r>
          </w:p>
          <w:p w14:paraId="64DC9A23" w14:textId="77777777" w:rsidR="0067124C" w:rsidRPr="00FE56DE" w:rsidRDefault="0067124C" w:rsidP="00F538C8">
            <w:pPr>
              <w:pStyle w:val="Body"/>
            </w:pPr>
            <w:r w:rsidRPr="00FE56DE">
              <w:t>any factors that limited your progress on this indicator, and</w:t>
            </w:r>
          </w:p>
          <w:p w14:paraId="7E121A36" w14:textId="77777777" w:rsidR="0067124C" w:rsidRPr="00FE56DE" w:rsidRDefault="0067124C" w:rsidP="00F538C8">
            <w:pPr>
              <w:pStyle w:val="Body"/>
            </w:pPr>
            <w:r w:rsidRPr="00FE56DE">
              <w:t>any GEAP strategies designed to make progress on this indicator.</w:t>
            </w:r>
          </w:p>
          <w:p w14:paraId="1784803B" w14:textId="77777777" w:rsidR="0067124C" w:rsidRPr="00FE56DE" w:rsidRDefault="0067124C" w:rsidP="00F538C8">
            <w:pPr>
              <w:pStyle w:val="Body"/>
            </w:pPr>
            <w:r w:rsidRPr="00FE56DE">
              <w:t>If the Commissioner is satisfied with the information you provide in step 4, you will be marked compliant on this indicator.</w:t>
            </w:r>
          </w:p>
        </w:tc>
      </w:tr>
      <w:tr w:rsidR="0067124C" w14:paraId="5A0D3C11" w14:textId="77777777" w:rsidTr="007F6E03">
        <w:tc>
          <w:tcPr>
            <w:tcW w:w="3256" w:type="dxa"/>
          </w:tcPr>
          <w:p w14:paraId="7120BA9F" w14:textId="77777777" w:rsidR="0067124C" w:rsidRPr="00FE56DE" w:rsidRDefault="0067124C" w:rsidP="00F538C8">
            <w:pPr>
              <w:pStyle w:val="Body"/>
            </w:pPr>
            <w:r w:rsidRPr="00F538C8">
              <w:t>Gender equality achieved.</w:t>
            </w:r>
          </w:p>
          <w:p w14:paraId="0FA44CA4" w14:textId="77777777" w:rsidR="0067124C" w:rsidRPr="00FE56DE" w:rsidRDefault="0067124C" w:rsidP="00F538C8">
            <w:pPr>
              <w:pStyle w:val="Body"/>
            </w:pPr>
            <w:r w:rsidRPr="00FE56DE">
              <w:t xml:space="preserve">Your data on this indicator has remained stable between your 2023 and 2025 audit. </w:t>
            </w:r>
          </w:p>
          <w:p w14:paraId="2D1CF231" w14:textId="77777777" w:rsidR="0067124C" w:rsidRPr="00FE56DE" w:rsidRDefault="0067124C" w:rsidP="00F538C8">
            <w:pPr>
              <w:pStyle w:val="Body"/>
            </w:pPr>
            <w:r w:rsidRPr="00FE56DE">
              <w:t>The gender composition throughout your organisation is mostly balanced.</w:t>
            </w:r>
          </w:p>
        </w:tc>
        <w:tc>
          <w:tcPr>
            <w:tcW w:w="5760" w:type="dxa"/>
          </w:tcPr>
          <w:p w14:paraId="4A8407A2" w14:textId="77777777" w:rsidR="0067124C" w:rsidRPr="00895915" w:rsidRDefault="0067124C" w:rsidP="00F538C8">
            <w:pPr>
              <w:pStyle w:val="Body"/>
            </w:pPr>
            <w:r w:rsidRPr="00895915">
              <w:t>Select ‘no’ in column D. You have not made progress.</w:t>
            </w:r>
          </w:p>
          <w:p w14:paraId="4625B6C8" w14:textId="77777777" w:rsidR="0067124C" w:rsidRPr="00FE56DE" w:rsidRDefault="0067124C" w:rsidP="00F538C8">
            <w:pPr>
              <w:pStyle w:val="Body"/>
            </w:pPr>
            <w:r w:rsidRPr="00FE56DE">
              <w:t>In column E, explain why your data shows that y</w:t>
            </w:r>
            <w:r w:rsidRPr="00895915">
              <w:t>ou have not made progress (for example, because there was no progress to be made) and therefore why your stable data is not a problem</w:t>
            </w:r>
            <w:r w:rsidRPr="00FE56DE">
              <w:t>.</w:t>
            </w:r>
          </w:p>
          <w:p w14:paraId="2FE1E3D5" w14:textId="77777777" w:rsidR="0067124C" w:rsidRPr="00FE56DE" w:rsidRDefault="0067124C" w:rsidP="00F538C8">
            <w:pPr>
              <w:pStyle w:val="Body"/>
            </w:pPr>
            <w:r w:rsidRPr="00FE56DE">
              <w:t>In step 4, you can provide further context about:</w:t>
            </w:r>
          </w:p>
          <w:p w14:paraId="07EE3FAB" w14:textId="77777777" w:rsidR="0067124C" w:rsidRPr="00FE56DE" w:rsidRDefault="0067124C" w:rsidP="00F538C8">
            <w:pPr>
              <w:pStyle w:val="Body"/>
            </w:pPr>
            <w:r w:rsidRPr="00F538C8">
              <w:t>any GEAP strategies designed to maintain gender equality on this indicator.</w:t>
            </w:r>
          </w:p>
        </w:tc>
      </w:tr>
    </w:tbl>
    <w:p w14:paraId="07F4B365" w14:textId="77777777" w:rsidR="0067124C" w:rsidRPr="00F1001D" w:rsidRDefault="0067124C" w:rsidP="0067124C">
      <w:pPr>
        <w:pStyle w:val="Heading2"/>
      </w:pPr>
      <w:r>
        <w:t>2.2 Describing factors limiting and contributing to progress</w:t>
      </w:r>
    </w:p>
    <w:p w14:paraId="5192DA9E" w14:textId="77777777" w:rsidR="0067124C" w:rsidRPr="00895915" w:rsidRDefault="0067124C" w:rsidP="00F538C8">
      <w:pPr>
        <w:pStyle w:val="Heading3"/>
      </w:pPr>
      <w:r>
        <w:t>Summary</w:t>
      </w:r>
    </w:p>
    <w:p w14:paraId="09D9D0B2" w14:textId="77777777" w:rsidR="0067124C" w:rsidRPr="00895915" w:rsidRDefault="0067124C" w:rsidP="00F538C8">
      <w:pPr>
        <w:pStyle w:val="Bullet1"/>
      </w:pPr>
      <w:r w:rsidRPr="00895915">
        <w:t>Select any factors listed in section 16(2) of the Act that may have affected your progress in relation to the indicators (</w:t>
      </w:r>
      <w:r w:rsidRPr="00F538C8">
        <w:t>required</w:t>
      </w:r>
      <w:r w:rsidRPr="00895915">
        <w:t>).</w:t>
      </w:r>
    </w:p>
    <w:p w14:paraId="0427E25B" w14:textId="77777777" w:rsidR="0067124C" w:rsidRPr="00895915" w:rsidRDefault="0067124C" w:rsidP="00F538C8">
      <w:pPr>
        <w:pStyle w:val="Bullet1"/>
      </w:pPr>
      <w:r w:rsidRPr="00895915">
        <w:t>Discuss those factors (</w:t>
      </w:r>
      <w:r w:rsidRPr="00F538C8">
        <w:t>required</w:t>
      </w:r>
      <w:r w:rsidRPr="00895915">
        <w:t>).</w:t>
      </w:r>
    </w:p>
    <w:p w14:paraId="09237E8D" w14:textId="77777777" w:rsidR="0067124C" w:rsidRPr="00895915" w:rsidRDefault="0067124C" w:rsidP="00F538C8">
      <w:pPr>
        <w:pStyle w:val="Bullet1"/>
      </w:pPr>
      <w:r w:rsidRPr="00895915">
        <w:t>Select and discuss for each indicator.</w:t>
      </w:r>
    </w:p>
    <w:p w14:paraId="31BA9142" w14:textId="77777777" w:rsidR="0067124C" w:rsidRPr="00895915" w:rsidRDefault="0067124C" w:rsidP="00F538C8">
      <w:pPr>
        <w:pStyle w:val="Bullet1"/>
      </w:pPr>
      <w:r w:rsidRPr="00895915">
        <w:t xml:space="preserve">Select more than one, if applicable. </w:t>
      </w:r>
    </w:p>
    <w:p w14:paraId="5D6366FE" w14:textId="77777777" w:rsidR="0067124C" w:rsidRPr="00895915" w:rsidRDefault="0067124C" w:rsidP="00F538C8">
      <w:pPr>
        <w:pStyle w:val="Bullet1"/>
      </w:pPr>
      <w:r w:rsidRPr="00895915">
        <w:t>Select ‘none’ if none apply.</w:t>
      </w:r>
    </w:p>
    <w:p w14:paraId="49730C31" w14:textId="77777777" w:rsidR="0067124C" w:rsidRPr="00895915" w:rsidRDefault="0067124C" w:rsidP="00F538C8">
      <w:pPr>
        <w:pStyle w:val="Bullet1"/>
      </w:pPr>
      <w:r w:rsidRPr="00895915">
        <w:t>List relevant strategies against each indicator.</w:t>
      </w:r>
    </w:p>
    <w:p w14:paraId="1BDB6641" w14:textId="77777777" w:rsidR="00895915" w:rsidRPr="00895915" w:rsidRDefault="00895915" w:rsidP="00895915">
      <w:pPr>
        <w:pStyle w:val="Heading3"/>
      </w:pPr>
      <w:r>
        <w:t>Instructions for completing the template</w:t>
      </w:r>
    </w:p>
    <w:tbl>
      <w:tblPr>
        <w:tblStyle w:val="TableGrid"/>
        <w:tblW w:w="9209" w:type="dxa"/>
        <w:tblLook w:val="04A0" w:firstRow="1" w:lastRow="0" w:firstColumn="1" w:lastColumn="0" w:noHBand="0" w:noVBand="1"/>
      </w:tblPr>
      <w:tblGrid>
        <w:gridCol w:w="1980"/>
        <w:gridCol w:w="7229"/>
      </w:tblGrid>
      <w:tr w:rsidR="0067124C" w:rsidRPr="008F0A02" w14:paraId="16C515C9" w14:textId="77777777" w:rsidTr="00F538C8">
        <w:trPr>
          <w:tblHeader/>
        </w:trPr>
        <w:tc>
          <w:tcPr>
            <w:tcW w:w="1980" w:type="dxa"/>
            <w:shd w:val="clear" w:color="auto" w:fill="5C308D"/>
          </w:tcPr>
          <w:p w14:paraId="670DB282" w14:textId="77777777" w:rsidR="0067124C" w:rsidRPr="009E4CF0" w:rsidRDefault="0067124C" w:rsidP="007F6E03">
            <w:pPr>
              <w:pStyle w:val="Body"/>
              <w:rPr>
                <w:b/>
                <w:bCs/>
                <w:color w:val="FFFFFF" w:themeColor="background1"/>
              </w:rPr>
            </w:pPr>
            <w:r>
              <w:rPr>
                <w:b/>
                <w:bCs/>
                <w:color w:val="FFFFFF" w:themeColor="background1"/>
              </w:rPr>
              <w:t>Column</w:t>
            </w:r>
          </w:p>
        </w:tc>
        <w:tc>
          <w:tcPr>
            <w:tcW w:w="7229" w:type="dxa"/>
            <w:shd w:val="clear" w:color="auto" w:fill="5C308D"/>
          </w:tcPr>
          <w:p w14:paraId="13860045" w14:textId="77777777" w:rsidR="0067124C" w:rsidRPr="009E4CF0" w:rsidRDefault="0067124C" w:rsidP="007F6E03">
            <w:pPr>
              <w:pStyle w:val="Body"/>
              <w:rPr>
                <w:b/>
                <w:bCs/>
                <w:color w:val="FFFFFF" w:themeColor="background1"/>
              </w:rPr>
            </w:pPr>
            <w:r w:rsidRPr="009E4CF0">
              <w:rPr>
                <w:b/>
                <w:bCs/>
                <w:color w:val="FFFFFF" w:themeColor="background1"/>
              </w:rPr>
              <w:t>Description</w:t>
            </w:r>
          </w:p>
        </w:tc>
      </w:tr>
      <w:tr w:rsidR="0067124C" w:rsidRPr="008F0A02" w14:paraId="7F8E0886" w14:textId="77777777" w:rsidTr="007F6E03">
        <w:tc>
          <w:tcPr>
            <w:tcW w:w="1980" w:type="dxa"/>
          </w:tcPr>
          <w:p w14:paraId="21E174C5" w14:textId="77777777" w:rsidR="0067124C" w:rsidRPr="006C28BF" w:rsidRDefault="0067124C" w:rsidP="007F6E03">
            <w:pPr>
              <w:pStyle w:val="Body"/>
            </w:pPr>
            <w:r>
              <w:t>Indicator (</w:t>
            </w:r>
            <w:r w:rsidRPr="007879E1">
              <w:rPr>
                <w:b/>
                <w:bCs/>
              </w:rPr>
              <w:t>pre-filled</w:t>
            </w:r>
            <w:r>
              <w:t>)</w:t>
            </w:r>
          </w:p>
        </w:tc>
        <w:tc>
          <w:tcPr>
            <w:tcW w:w="7229" w:type="dxa"/>
          </w:tcPr>
          <w:p w14:paraId="5B8B06BB" w14:textId="552E1DDF" w:rsidR="0067124C" w:rsidRDefault="0067124C" w:rsidP="00895915">
            <w:pPr>
              <w:pStyle w:val="Body"/>
            </w:pPr>
            <w:r>
              <w:t xml:space="preserve">This is prefilled in the template. It refers to the </w:t>
            </w:r>
            <w:r w:rsidRPr="00BC0814">
              <w:rPr>
                <w:highlight w:val="lightGray"/>
              </w:rPr>
              <w:t>workplace gender equality indicators</w:t>
            </w:r>
            <w:r>
              <w:t xml:space="preserve">. Do not </w:t>
            </w:r>
            <w:r w:rsidRPr="00B47E57">
              <w:t>change</w:t>
            </w:r>
            <w:r>
              <w:t xml:space="preserve"> this column.</w:t>
            </w:r>
          </w:p>
        </w:tc>
      </w:tr>
      <w:tr w:rsidR="0067124C" w:rsidRPr="008F0A02" w14:paraId="5CC8D2DD" w14:textId="77777777" w:rsidTr="007F6E03">
        <w:tc>
          <w:tcPr>
            <w:tcW w:w="1980" w:type="dxa"/>
          </w:tcPr>
          <w:p w14:paraId="06E9FFA8" w14:textId="77777777" w:rsidR="0067124C" w:rsidRDefault="0067124C" w:rsidP="007F6E03">
            <w:pPr>
              <w:pStyle w:val="Body"/>
            </w:pPr>
            <w:r>
              <w:t xml:space="preserve">(F) </w:t>
            </w:r>
            <w:r w:rsidRPr="001A1633">
              <w:t>Did any of the factors listed below limit your progress?</w:t>
            </w:r>
            <w:r>
              <w:t xml:space="preserve"> (</w:t>
            </w:r>
            <w:r w:rsidRPr="007879E1">
              <w:rPr>
                <w:b/>
                <w:bCs/>
              </w:rPr>
              <w:t>required</w:t>
            </w:r>
            <w:r>
              <w:t>)</w:t>
            </w:r>
          </w:p>
        </w:tc>
        <w:tc>
          <w:tcPr>
            <w:tcW w:w="7229" w:type="dxa"/>
          </w:tcPr>
          <w:p w14:paraId="5A0196FD" w14:textId="77777777" w:rsidR="0067124C" w:rsidRDefault="0067124C" w:rsidP="00F538C8">
            <w:pPr>
              <w:pStyle w:val="Bullet1"/>
            </w:pPr>
            <w:r>
              <w:t>Select any of the factors that may have affected your organisation’s ability to make progress against each indicator.</w:t>
            </w:r>
          </w:p>
          <w:p w14:paraId="0A0A4247" w14:textId="77777777" w:rsidR="0067124C" w:rsidRDefault="0067124C" w:rsidP="00F538C8">
            <w:pPr>
              <w:pStyle w:val="Bullet1"/>
            </w:pPr>
            <w:r>
              <w:t>Select more than one factor, if applicable.</w:t>
            </w:r>
          </w:p>
          <w:p w14:paraId="469D5384" w14:textId="77777777" w:rsidR="0067124C" w:rsidRDefault="0067124C" w:rsidP="00F538C8">
            <w:pPr>
              <w:pStyle w:val="Bullet1"/>
            </w:pPr>
            <w:r>
              <w:t>Select ‘none’ if none apply.</w:t>
            </w:r>
          </w:p>
          <w:p w14:paraId="5414B5C5" w14:textId="77777777" w:rsidR="0067124C" w:rsidRDefault="0067124C" w:rsidP="00F538C8">
            <w:pPr>
              <w:pStyle w:val="Bodyafterbullets"/>
            </w:pPr>
            <w:r>
              <w:t>The factors are:</w:t>
            </w:r>
          </w:p>
          <w:p w14:paraId="398E2008" w14:textId="77777777" w:rsidR="0067124C" w:rsidRDefault="0067124C" w:rsidP="00742E82">
            <w:pPr>
              <w:pStyle w:val="Body"/>
              <w:numPr>
                <w:ilvl w:val="0"/>
                <w:numId w:val="5"/>
              </w:numPr>
            </w:pPr>
            <w:r>
              <w:t>the size of the organisation, including the number of employees</w:t>
            </w:r>
          </w:p>
          <w:p w14:paraId="1C6FA81A" w14:textId="77777777" w:rsidR="0067124C" w:rsidRDefault="0067124C" w:rsidP="00742E82">
            <w:pPr>
              <w:pStyle w:val="Body"/>
              <w:numPr>
                <w:ilvl w:val="0"/>
                <w:numId w:val="5"/>
              </w:numPr>
            </w:pPr>
            <w:r>
              <w:t>the nature and circumstances of the organisation, including any barriers to making progress</w:t>
            </w:r>
          </w:p>
          <w:p w14:paraId="0290B515" w14:textId="77777777" w:rsidR="0067124C" w:rsidRDefault="0067124C" w:rsidP="00742E82">
            <w:pPr>
              <w:pStyle w:val="Body"/>
              <w:numPr>
                <w:ilvl w:val="0"/>
                <w:numId w:val="5"/>
              </w:numPr>
            </w:pPr>
            <w:r>
              <w:t>requirements that apply to the organisation under any other Act, including an Act of the Commonwealth</w:t>
            </w:r>
          </w:p>
          <w:p w14:paraId="047F8C9F" w14:textId="77777777" w:rsidR="0067124C" w:rsidRDefault="0067124C" w:rsidP="00742E82">
            <w:pPr>
              <w:pStyle w:val="Body"/>
              <w:numPr>
                <w:ilvl w:val="0"/>
                <w:numId w:val="5"/>
              </w:numPr>
            </w:pPr>
            <w:r>
              <w:t>the organisation’s resources</w:t>
            </w:r>
          </w:p>
          <w:p w14:paraId="2C4266C3" w14:textId="77777777" w:rsidR="0067124C" w:rsidRDefault="0067124C" w:rsidP="00742E82">
            <w:pPr>
              <w:pStyle w:val="Body"/>
              <w:numPr>
                <w:ilvl w:val="0"/>
                <w:numId w:val="5"/>
              </w:numPr>
            </w:pPr>
            <w:r>
              <w:t>the organisation’s operational priorities and competing operational obligations</w:t>
            </w:r>
          </w:p>
          <w:p w14:paraId="0A6D1DC1" w14:textId="77777777" w:rsidR="0067124C" w:rsidRDefault="0067124C" w:rsidP="00742E82">
            <w:pPr>
              <w:pStyle w:val="Body"/>
              <w:numPr>
                <w:ilvl w:val="0"/>
                <w:numId w:val="5"/>
              </w:numPr>
            </w:pPr>
            <w:r>
              <w:t>the practicability and cost to the organisation of making progress; and</w:t>
            </w:r>
          </w:p>
          <w:p w14:paraId="171B3BEC" w14:textId="77777777" w:rsidR="0067124C" w:rsidRDefault="0067124C" w:rsidP="00742E82">
            <w:pPr>
              <w:pStyle w:val="Body"/>
              <w:numPr>
                <w:ilvl w:val="0"/>
                <w:numId w:val="5"/>
              </w:numPr>
            </w:pPr>
            <w:r>
              <w:t>genuine attempts made by the organisation to make progress.</w:t>
            </w:r>
          </w:p>
          <w:p w14:paraId="65BE9E39" w14:textId="3137A241" w:rsidR="0067124C" w:rsidRDefault="0067124C" w:rsidP="00F538C8">
            <w:pPr>
              <w:pStyle w:val="Bodyafterbullets"/>
            </w:pPr>
            <w:r>
              <w:t>The Commissioner will take these factors into account when determining whether you have made reasonable and material progress (or not) against the indicators.</w:t>
            </w:r>
          </w:p>
        </w:tc>
      </w:tr>
      <w:tr w:rsidR="0067124C" w:rsidRPr="008F0A02" w14:paraId="2AB5F95B" w14:textId="77777777" w:rsidTr="00F538C8">
        <w:trPr>
          <w:cantSplit/>
        </w:trPr>
        <w:tc>
          <w:tcPr>
            <w:tcW w:w="1980" w:type="dxa"/>
          </w:tcPr>
          <w:p w14:paraId="1F4E402E" w14:textId="77777777" w:rsidR="0067124C" w:rsidRDefault="0067124C" w:rsidP="007F6E03">
            <w:pPr>
              <w:pStyle w:val="Body"/>
            </w:pPr>
            <w:r>
              <w:t xml:space="preserve">(G) </w:t>
            </w:r>
            <w:r w:rsidRPr="00FE7344">
              <w:t>Explain how any factor(s) limited your progress</w:t>
            </w:r>
            <w:r>
              <w:t xml:space="preserve"> (</w:t>
            </w:r>
            <w:r w:rsidRPr="007879E1">
              <w:rPr>
                <w:b/>
                <w:bCs/>
              </w:rPr>
              <w:t>required</w:t>
            </w:r>
            <w:r>
              <w:t>)</w:t>
            </w:r>
          </w:p>
        </w:tc>
        <w:tc>
          <w:tcPr>
            <w:tcW w:w="7229" w:type="dxa"/>
          </w:tcPr>
          <w:p w14:paraId="1800DAA9" w14:textId="77777777" w:rsidR="0067124C" w:rsidRDefault="0067124C" w:rsidP="001B092E">
            <w:pPr>
              <w:pStyle w:val="Body"/>
            </w:pPr>
            <w:r>
              <w:t>Explain</w:t>
            </w:r>
            <w:r w:rsidRPr="004E1170" w:rsidDel="00733E27">
              <w:t xml:space="preserve"> </w:t>
            </w:r>
            <w:r>
              <w:t>how</w:t>
            </w:r>
            <w:r>
              <w:rPr>
                <w:b/>
                <w:bCs/>
              </w:rPr>
              <w:t xml:space="preserve"> </w:t>
            </w:r>
            <w:r w:rsidRPr="00E7501A">
              <w:t>the factor</w:t>
            </w:r>
            <w:r>
              <w:t>(</w:t>
            </w:r>
            <w:r w:rsidRPr="00E7501A">
              <w:t>s</w:t>
            </w:r>
            <w:r>
              <w:t>)</w:t>
            </w:r>
            <w:r w:rsidRPr="50412E83">
              <w:t xml:space="preserve"> that you </w:t>
            </w:r>
            <w:r>
              <w:t>identified impacted your ability to make reasonable or material progress against each indicator</w:t>
            </w:r>
            <w:r w:rsidRPr="50412E83">
              <w:t>.</w:t>
            </w:r>
            <w:r>
              <w:t xml:space="preserve"> </w:t>
            </w:r>
          </w:p>
          <w:p w14:paraId="73D156D7" w14:textId="77777777" w:rsidR="0067124C" w:rsidRDefault="0067124C" w:rsidP="001B092E">
            <w:pPr>
              <w:pStyle w:val="Body"/>
            </w:pPr>
            <w:r w:rsidRPr="50412E83">
              <w:t xml:space="preserve">If you selected multiple factors, </w:t>
            </w:r>
            <w:r>
              <w:t>make sure you refer to all of them in your explanation</w:t>
            </w:r>
            <w:r w:rsidRPr="50412E83">
              <w:t>.</w:t>
            </w:r>
            <w:r>
              <w:t xml:space="preserve"> </w:t>
            </w:r>
          </w:p>
          <w:p w14:paraId="08BBE111" w14:textId="6CE66590" w:rsidR="0067124C" w:rsidRDefault="0067124C" w:rsidP="001B092E">
            <w:pPr>
              <w:pStyle w:val="Body"/>
            </w:pPr>
            <w:r>
              <w:t xml:space="preserve">If you selected ‘none’ to factors impacting your progress (or lack of progress), write N/A in this column. </w:t>
            </w:r>
          </w:p>
        </w:tc>
      </w:tr>
      <w:tr w:rsidR="0067124C" w:rsidRPr="008F0A02" w14:paraId="3C4FFFBA" w14:textId="77777777" w:rsidTr="007F6E03">
        <w:tc>
          <w:tcPr>
            <w:tcW w:w="1980" w:type="dxa"/>
          </w:tcPr>
          <w:p w14:paraId="222BEA08" w14:textId="77777777" w:rsidR="0067124C" w:rsidRDefault="0067124C" w:rsidP="007F6E03">
            <w:pPr>
              <w:pStyle w:val="Body"/>
            </w:pPr>
            <w:r>
              <w:t xml:space="preserve">(H) </w:t>
            </w:r>
            <w:r w:rsidRPr="00522F85">
              <w:t xml:space="preserve">List </w:t>
            </w:r>
            <w:r w:rsidRPr="00AF47DD">
              <w:t>the</w:t>
            </w:r>
            <w:r w:rsidRPr="00522F85">
              <w:t xml:space="preserve"> strategies </w:t>
            </w:r>
            <w:r w:rsidRPr="00AF47DD">
              <w:t xml:space="preserve">implemented </w:t>
            </w:r>
            <w:r w:rsidRPr="00522F85">
              <w:t xml:space="preserve">that contributed to </w:t>
            </w:r>
            <w:r w:rsidRPr="00AF47DD">
              <w:t>or aligned with the</w:t>
            </w:r>
            <w:r w:rsidRPr="00522F85">
              <w:t xml:space="preserve"> indicator</w:t>
            </w:r>
            <w:r>
              <w:t xml:space="preserve"> (</w:t>
            </w:r>
            <w:r w:rsidRPr="003134E7">
              <w:rPr>
                <w:b/>
                <w:bCs/>
              </w:rPr>
              <w:t>required</w:t>
            </w:r>
            <w:r>
              <w:t>)</w:t>
            </w:r>
          </w:p>
        </w:tc>
        <w:tc>
          <w:tcPr>
            <w:tcW w:w="7229" w:type="dxa"/>
          </w:tcPr>
          <w:p w14:paraId="09BE03CF" w14:textId="77777777" w:rsidR="0067124C" w:rsidRDefault="0067124C" w:rsidP="001B092E">
            <w:pPr>
              <w:pStyle w:val="Body"/>
            </w:pPr>
            <w:r>
              <w:t>List the GEAP strategies that supported, or were designed to support, progress against each indicator.</w:t>
            </w:r>
          </w:p>
          <w:p w14:paraId="59A4D9F0" w14:textId="6F33A2DB" w:rsidR="0067124C" w:rsidRDefault="0067124C" w:rsidP="001B092E">
            <w:pPr>
              <w:pStyle w:val="Body"/>
            </w:pPr>
            <w:r>
              <w:t xml:space="preserve">Completing this section forms part of your organisation’s required reporting on the implementation </w:t>
            </w:r>
            <w:r w:rsidRPr="00FE56DE">
              <w:t>of</w:t>
            </w:r>
            <w:r>
              <w:t xml:space="preserve"> your GEAP strategies and measures. </w:t>
            </w:r>
          </w:p>
          <w:p w14:paraId="2449BFCE" w14:textId="77777777" w:rsidR="0067124C" w:rsidRDefault="0067124C" w:rsidP="00FE56DE">
            <w:pPr>
              <w:pStyle w:val="Body"/>
            </w:pPr>
            <w:r>
              <w:t xml:space="preserve">You must list the relevant strategies against each indicator, </w:t>
            </w:r>
            <w:proofErr w:type="gramStart"/>
            <w:r>
              <w:t>whether or not</w:t>
            </w:r>
            <w:proofErr w:type="gramEnd"/>
            <w:r>
              <w:t xml:space="preserve"> you have made reasonable </w:t>
            </w:r>
            <w:r w:rsidRPr="00FE56DE">
              <w:t>and</w:t>
            </w:r>
            <w:r>
              <w:t xml:space="preserve"> material progress on that indicator.</w:t>
            </w:r>
          </w:p>
        </w:tc>
      </w:tr>
    </w:tbl>
    <w:p w14:paraId="64125DC2" w14:textId="77777777" w:rsidR="0067124C" w:rsidRDefault="0067124C" w:rsidP="0067124C">
      <w:pPr>
        <w:pStyle w:val="Requiredtableheading"/>
        <w:rPr>
          <w:sz w:val="22"/>
          <w:szCs w:val="22"/>
        </w:rPr>
      </w:pPr>
    </w:p>
    <w:p w14:paraId="2FA3B77D" w14:textId="77777777" w:rsidR="0067124C" w:rsidRDefault="0067124C" w:rsidP="0067124C">
      <w:pPr>
        <w:pStyle w:val="Body"/>
      </w:pPr>
    </w:p>
    <w:p w14:paraId="36C31259" w14:textId="77777777" w:rsidR="0067124C" w:rsidRDefault="0067124C" w:rsidP="0067124C">
      <w:pPr>
        <w:rPr>
          <w:rFonts w:eastAsiaTheme="majorEastAsia" w:cstheme="majorBidi"/>
          <w:color w:val="5C308D"/>
          <w:sz w:val="48"/>
          <w:szCs w:val="32"/>
        </w:rPr>
      </w:pPr>
      <w:bookmarkStart w:id="14" w:name="_GEAP_strategies_and"/>
      <w:bookmarkStart w:id="15" w:name="_Toc129686730"/>
      <w:bookmarkStart w:id="16" w:name="_Toc184918444"/>
      <w:bookmarkEnd w:id="14"/>
      <w:r>
        <w:br w:type="page"/>
      </w:r>
    </w:p>
    <w:p w14:paraId="74A3B54C" w14:textId="77777777" w:rsidR="0067124C" w:rsidRDefault="0067124C" w:rsidP="0067124C">
      <w:pPr>
        <w:pStyle w:val="Heading1"/>
      </w:pPr>
      <w:r>
        <w:t>Part 3: Reporting on GEAP s</w:t>
      </w:r>
      <w:r w:rsidRPr="00407715">
        <w:t>trategies</w:t>
      </w:r>
      <w:bookmarkEnd w:id="15"/>
      <w:bookmarkEnd w:id="16"/>
    </w:p>
    <w:p w14:paraId="476F2410" w14:textId="77777777" w:rsidR="0067124C" w:rsidRPr="008F5397" w:rsidRDefault="0067124C" w:rsidP="00F538C8">
      <w:pPr>
        <w:pStyle w:val="Body"/>
        <w:rPr>
          <w:bCs/>
        </w:rPr>
      </w:pPr>
      <w:r w:rsidRPr="00F538C8">
        <w:rPr>
          <w:b/>
          <w:bCs/>
        </w:rPr>
        <w:t>This part includes required and recommended action items.</w:t>
      </w:r>
    </w:p>
    <w:p w14:paraId="0DC7529B" w14:textId="18B00A8E" w:rsidR="0067124C" w:rsidRPr="00BD3F2C" w:rsidRDefault="0067124C" w:rsidP="00BD3F2C">
      <w:pPr>
        <w:pStyle w:val="Body"/>
      </w:pPr>
      <w:r w:rsidRPr="00BD3F2C">
        <w:t xml:space="preserve">This section </w:t>
      </w:r>
      <w:r w:rsidR="00BD3F2C">
        <w:t>shows you how</w:t>
      </w:r>
      <w:r w:rsidRPr="00BD3F2C">
        <w:t xml:space="preserve"> to report on your progress in implementing the strategies in your gender equality action plan (GEAP).</w:t>
      </w:r>
    </w:p>
    <w:p w14:paraId="32B8C127" w14:textId="51547FB5" w:rsidR="0067124C" w:rsidRDefault="0067124C" w:rsidP="00BD3F2C">
      <w:pPr>
        <w:pStyle w:val="Body"/>
      </w:pPr>
      <w:r w:rsidRPr="00B46111">
        <w:t>To meet</w:t>
      </w:r>
      <w:r>
        <w:t xml:space="preserve"> your obligations to </w:t>
      </w:r>
      <w:r w:rsidRPr="00BD3F2C">
        <w:t>report</w:t>
      </w:r>
      <w:r>
        <w:t xml:space="preserve"> on your</w:t>
      </w:r>
      <w:r w:rsidRPr="00B46111">
        <w:t xml:space="preserve"> </w:t>
      </w:r>
      <w:r>
        <w:t xml:space="preserve">GEAP’s </w:t>
      </w:r>
      <w:r w:rsidRPr="00B46111">
        <w:t xml:space="preserve">progress, </w:t>
      </w:r>
      <w:r>
        <w:t>you must</w:t>
      </w:r>
      <w:r w:rsidRPr="00B46111">
        <w:t xml:space="preserve"> use the </w:t>
      </w:r>
      <w:r w:rsidR="00ED5A75">
        <w:t>2026</w:t>
      </w:r>
      <w:r w:rsidRPr="00B46111">
        <w:t xml:space="preserve"> </w:t>
      </w:r>
      <w:r w:rsidRPr="00283B21">
        <w:rPr>
          <w:highlight w:val="lightGray"/>
        </w:rPr>
        <w:t>progress report template</w:t>
      </w:r>
      <w:r>
        <w:t>.</w:t>
      </w:r>
    </w:p>
    <w:p w14:paraId="74D6BB86" w14:textId="77777777" w:rsidR="0067124C" w:rsidRDefault="0067124C" w:rsidP="0067124C">
      <w:pPr>
        <w:pStyle w:val="Body"/>
      </w:pPr>
      <w:r>
        <w:t>While you should have listed your GEAP strategies in 2.2 (column H), this section aims to encourage you to think about the overall implementation of your strategies.</w:t>
      </w:r>
    </w:p>
    <w:p w14:paraId="6CE4F305" w14:textId="31B429C8" w:rsidR="0067124C" w:rsidRDefault="00BD3F2C" w:rsidP="00F538C8">
      <w:pPr>
        <w:pStyle w:val="Bodyafterbullets"/>
      </w:pPr>
      <w:r>
        <w:t>This section includes:</w:t>
      </w:r>
    </w:p>
    <w:p w14:paraId="264C03E0" w14:textId="77777777" w:rsidR="0067124C" w:rsidRDefault="0067124C" w:rsidP="0067124C">
      <w:pPr>
        <w:pStyle w:val="Bullet1"/>
      </w:pPr>
      <w:r>
        <w:t>3.1 Explaining incomplete strategies (</w:t>
      </w:r>
      <w:r w:rsidRPr="00C83F75">
        <w:rPr>
          <w:b/>
          <w:bCs/>
        </w:rPr>
        <w:t>required</w:t>
      </w:r>
      <w:r>
        <w:t>)</w:t>
      </w:r>
    </w:p>
    <w:p w14:paraId="4D3D61FF" w14:textId="77777777" w:rsidR="0067124C" w:rsidRDefault="0067124C" w:rsidP="0067124C">
      <w:pPr>
        <w:pStyle w:val="Bullet1"/>
      </w:pPr>
      <w:r>
        <w:t>3.2 Describing achievements, challenges and learnings (</w:t>
      </w:r>
      <w:r w:rsidRPr="00C83F75">
        <w:rPr>
          <w:b/>
          <w:bCs/>
        </w:rPr>
        <w:t>recommended</w:t>
      </w:r>
      <w:r>
        <w:t>)</w:t>
      </w:r>
    </w:p>
    <w:p w14:paraId="46E54143" w14:textId="77777777" w:rsidR="0067124C" w:rsidRDefault="0067124C" w:rsidP="0067124C">
      <w:pPr>
        <w:pStyle w:val="Bullet1"/>
      </w:pPr>
      <w:r>
        <w:t>3.3 Providing other updates on implementation (</w:t>
      </w:r>
      <w:r w:rsidRPr="00C83F75">
        <w:rPr>
          <w:b/>
          <w:bCs/>
        </w:rPr>
        <w:t>recommended</w:t>
      </w:r>
      <w:r>
        <w:t>)</w:t>
      </w:r>
    </w:p>
    <w:p w14:paraId="4342077C" w14:textId="7AC7AE41" w:rsidR="0067124C" w:rsidRDefault="0067124C" w:rsidP="00F538C8">
      <w:pPr>
        <w:pStyle w:val="Bullet1"/>
      </w:pPr>
      <w:r>
        <w:t>3.4 Describing resourcing allocation (</w:t>
      </w:r>
      <w:r w:rsidRPr="00BD3F2C">
        <w:rPr>
          <w:b/>
          <w:bCs/>
        </w:rPr>
        <w:t>recommended</w:t>
      </w:r>
      <w:r>
        <w:t>)</w:t>
      </w:r>
    </w:p>
    <w:p w14:paraId="5725FDEE" w14:textId="269F057F" w:rsidR="0067124C" w:rsidRDefault="0067124C" w:rsidP="0067124C">
      <w:pPr>
        <w:pStyle w:val="Heading2"/>
      </w:pPr>
      <w:r>
        <w:t>3.1 Explaining incomplete strategies (if any)</w:t>
      </w:r>
    </w:p>
    <w:p w14:paraId="13CC2D49" w14:textId="4DC2CFB6" w:rsidR="00E94C70" w:rsidRPr="00E94C70" w:rsidRDefault="00E94C70" w:rsidP="00F538C8">
      <w:pPr>
        <w:pStyle w:val="Heading3"/>
      </w:pPr>
      <w:r>
        <w:t>Summary</w:t>
      </w:r>
    </w:p>
    <w:p w14:paraId="6E59AD33" w14:textId="77777777" w:rsidR="0067124C" w:rsidRPr="00F538C8" w:rsidRDefault="0067124C" w:rsidP="00F538C8">
      <w:pPr>
        <w:pStyle w:val="Bullet1"/>
      </w:pPr>
      <w:r w:rsidRPr="00F538C8">
        <w:t>Explain whether you had strategies in your gender equality action plan (GEAP) that were not completed (required).</w:t>
      </w:r>
    </w:p>
    <w:p w14:paraId="01565FFD" w14:textId="77777777" w:rsidR="0067124C" w:rsidRPr="00F538C8" w:rsidRDefault="0067124C" w:rsidP="00F538C8">
      <w:pPr>
        <w:pStyle w:val="Bullet1"/>
      </w:pPr>
      <w:r w:rsidRPr="00F538C8">
        <w:t>Explain why they were not completed (required).</w:t>
      </w:r>
    </w:p>
    <w:p w14:paraId="6D5B251C" w14:textId="72DFA996" w:rsidR="00E94C70" w:rsidRDefault="00E94C70" w:rsidP="00F538C8">
      <w:pPr>
        <w:pStyle w:val="Heading3"/>
      </w:pPr>
      <w:r>
        <w:t>Detail</w:t>
      </w:r>
    </w:p>
    <w:p w14:paraId="2FE31D1B" w14:textId="77777777" w:rsidR="0067124C" w:rsidRDefault="0067124C" w:rsidP="00E94C70">
      <w:pPr>
        <w:pStyle w:val="Body"/>
      </w:pPr>
      <w:r>
        <w:t>As with any program of work, sometimes activities do not go as planned. Strategies may have been delayed or cancelled for many reasons.</w:t>
      </w:r>
    </w:p>
    <w:p w14:paraId="68379912" w14:textId="77777777" w:rsidR="00E94C70" w:rsidRDefault="0067124C" w:rsidP="0067124C">
      <w:pPr>
        <w:pStyle w:val="Body"/>
      </w:pPr>
      <w:r>
        <w:t xml:space="preserve">For </w:t>
      </w:r>
      <w:r>
        <w:rPr>
          <w:b/>
          <w:bCs/>
        </w:rPr>
        <w:t>section</w:t>
      </w:r>
      <w:r w:rsidRPr="00A13162">
        <w:rPr>
          <w:b/>
          <w:bCs/>
        </w:rPr>
        <w:t xml:space="preserve"> 3.1</w:t>
      </w:r>
      <w:r>
        <w:t xml:space="preserve">, briefly summarise strategies in your GEAP that were not completed and explain why. </w:t>
      </w:r>
    </w:p>
    <w:p w14:paraId="43ED27E7" w14:textId="77777777" w:rsidR="00E94C70" w:rsidRDefault="0067124C" w:rsidP="0067124C">
      <w:pPr>
        <w:pStyle w:val="Body"/>
      </w:pPr>
      <w:r>
        <w:t xml:space="preserve">You can discuss </w:t>
      </w:r>
      <w:r w:rsidR="00BD3F2C">
        <w:t xml:space="preserve">these </w:t>
      </w:r>
      <w:r>
        <w:t xml:space="preserve">in general terms. </w:t>
      </w:r>
    </w:p>
    <w:p w14:paraId="36E07338" w14:textId="5B96D16D" w:rsidR="0067124C" w:rsidRDefault="0067124C" w:rsidP="0067124C">
      <w:pPr>
        <w:pStyle w:val="Body"/>
      </w:pPr>
      <w:r>
        <w:t>You do not need to list every strategy that was not completed. However, if you have not completed multiple strategies, please provide a total number.</w:t>
      </w:r>
    </w:p>
    <w:p w14:paraId="305D368B" w14:textId="77777777" w:rsidR="0067124C" w:rsidRDefault="0067124C" w:rsidP="0067124C">
      <w:pPr>
        <w:pStyle w:val="Heading2"/>
      </w:pPr>
      <w:r>
        <w:t>3.2 Describing achievements, challenges and learnings</w:t>
      </w:r>
    </w:p>
    <w:p w14:paraId="6C55B6B4" w14:textId="4C43866F" w:rsidR="00E94C70" w:rsidRPr="00E94C70" w:rsidRDefault="00E94C70" w:rsidP="00F538C8">
      <w:pPr>
        <w:pStyle w:val="Heading3"/>
      </w:pPr>
      <w:r>
        <w:t>Summary</w:t>
      </w:r>
    </w:p>
    <w:p w14:paraId="0626BFBC" w14:textId="77777777" w:rsidR="0067124C" w:rsidRDefault="0067124C" w:rsidP="00F538C8">
      <w:pPr>
        <w:pStyle w:val="Bullet1"/>
      </w:pPr>
      <w:r>
        <w:t>S</w:t>
      </w:r>
      <w:r w:rsidRPr="001F6A54">
        <w:t>umma</w:t>
      </w:r>
      <w:r>
        <w:t>rise any</w:t>
      </w:r>
      <w:r>
        <w:rPr>
          <w:b/>
          <w:bCs/>
        </w:rPr>
        <w:t xml:space="preserve"> noteworthy</w:t>
      </w:r>
      <w:r w:rsidRPr="001F6A54">
        <w:rPr>
          <w:b/>
          <w:bCs/>
        </w:rPr>
        <w:t xml:space="preserve"> strategies</w:t>
      </w:r>
      <w:r>
        <w:t xml:space="preserve"> that positively contributed to gender equality (</w:t>
      </w:r>
      <w:r w:rsidRPr="00F13193">
        <w:rPr>
          <w:b/>
          <w:bCs/>
        </w:rPr>
        <w:t>recommended</w:t>
      </w:r>
      <w:r>
        <w:t xml:space="preserve">). </w:t>
      </w:r>
    </w:p>
    <w:p w14:paraId="17963DFB" w14:textId="77777777" w:rsidR="0067124C" w:rsidRPr="00A41197" w:rsidRDefault="0067124C" w:rsidP="00F538C8">
      <w:pPr>
        <w:pStyle w:val="Bullet1"/>
      </w:pPr>
      <w:r w:rsidRPr="00A41197">
        <w:t xml:space="preserve">Discuss any </w:t>
      </w:r>
      <w:r w:rsidRPr="00A41197">
        <w:rPr>
          <w:b/>
        </w:rPr>
        <w:t>success</w:t>
      </w:r>
      <w:r>
        <w:rPr>
          <w:b/>
        </w:rPr>
        <w:t xml:space="preserve"> factors</w:t>
      </w:r>
      <w:r w:rsidRPr="00A41197">
        <w:t xml:space="preserve"> </w:t>
      </w:r>
      <w:r>
        <w:t xml:space="preserve">(in addition to the data you provided in part 2) </w:t>
      </w:r>
      <w:r w:rsidRPr="00A41197">
        <w:t>that demonstrated significant progress</w:t>
      </w:r>
      <w:r>
        <w:t xml:space="preserve">. </w:t>
      </w:r>
      <w:r w:rsidRPr="00E94C70">
        <w:t>This</w:t>
      </w:r>
      <w:r>
        <w:t xml:space="preserve"> might include commentary about goals you set yourself at the start of the GEAP, indicators you selected to monitor, or evaluation findings</w:t>
      </w:r>
      <w:r w:rsidRPr="00A41197">
        <w:t xml:space="preserve"> </w:t>
      </w:r>
      <w:r>
        <w:t>(</w:t>
      </w:r>
      <w:r w:rsidRPr="00F13193">
        <w:rPr>
          <w:b/>
          <w:bCs/>
        </w:rPr>
        <w:t>recommended</w:t>
      </w:r>
      <w:r>
        <w:t>)</w:t>
      </w:r>
      <w:r w:rsidRPr="00A41197">
        <w:t>.</w:t>
      </w:r>
    </w:p>
    <w:p w14:paraId="79D496E0" w14:textId="77777777" w:rsidR="0067124C" w:rsidRDefault="0067124C" w:rsidP="00F538C8">
      <w:pPr>
        <w:pStyle w:val="Bullet1"/>
      </w:pPr>
      <w:r>
        <w:t>Discuss</w:t>
      </w:r>
      <w:r w:rsidRPr="002572BB">
        <w:t xml:space="preserve"> any </w:t>
      </w:r>
      <w:r w:rsidRPr="001F6A54">
        <w:rPr>
          <w:b/>
          <w:bCs/>
        </w:rPr>
        <w:t>challenges</w:t>
      </w:r>
      <w:r w:rsidRPr="002572BB">
        <w:t xml:space="preserve"> in implementing your strategies.</w:t>
      </w:r>
      <w:r>
        <w:t xml:space="preserve"> This could include things that did not work well or that did not go as planned (</w:t>
      </w:r>
      <w:r w:rsidRPr="00F13193">
        <w:rPr>
          <w:b/>
          <w:bCs/>
        </w:rPr>
        <w:t>recommended</w:t>
      </w:r>
      <w:r>
        <w:t>).</w:t>
      </w:r>
    </w:p>
    <w:p w14:paraId="6BACF9A4" w14:textId="77777777" w:rsidR="0067124C" w:rsidRDefault="0067124C" w:rsidP="00F538C8">
      <w:pPr>
        <w:pStyle w:val="Bullet1"/>
      </w:pPr>
      <w:r>
        <w:t xml:space="preserve">Summarise your </w:t>
      </w:r>
      <w:r w:rsidRPr="001F6A54">
        <w:rPr>
          <w:b/>
          <w:bCs/>
        </w:rPr>
        <w:t>learnings</w:t>
      </w:r>
      <w:r>
        <w:t xml:space="preserve"> from implementing your strategies. You could explain how this has changed your approach to </w:t>
      </w:r>
      <w:r w:rsidRPr="00E94C70">
        <w:t>gender</w:t>
      </w:r>
      <w:r>
        <w:t xml:space="preserve"> equality work going forward (</w:t>
      </w:r>
      <w:r w:rsidRPr="00F13193">
        <w:rPr>
          <w:b/>
          <w:bCs/>
        </w:rPr>
        <w:t>recommended</w:t>
      </w:r>
      <w:r>
        <w:t xml:space="preserve">). </w:t>
      </w:r>
    </w:p>
    <w:p w14:paraId="65F1F05A" w14:textId="0B390B6D" w:rsidR="0067124C" w:rsidRDefault="0067124C" w:rsidP="001B092E">
      <w:pPr>
        <w:pStyle w:val="Body"/>
      </w:pPr>
      <w:r>
        <w:t xml:space="preserve">Reflecting on </w:t>
      </w:r>
      <w:r w:rsidRPr="00E94C70">
        <w:t>and</w:t>
      </w:r>
      <w:r>
        <w:t xml:space="preserve"> describing what you have achieved and learned from implementing your GEAP will help you improve in your next GEAP. It will also help</w:t>
      </w:r>
      <w:r w:rsidRPr="00A83150">
        <w:t xml:space="preserve"> your organisation, the</w:t>
      </w:r>
      <w:r w:rsidRPr="00CC0B6B">
        <w:t xml:space="preserve"> Commission</w:t>
      </w:r>
      <w:r>
        <w:t>er</w:t>
      </w:r>
      <w:r w:rsidRPr="00CC0B6B">
        <w:t xml:space="preserve">, and other organisations </w:t>
      </w:r>
      <w:r>
        <w:t>to understand:</w:t>
      </w:r>
    </w:p>
    <w:p w14:paraId="0D9E9C91" w14:textId="77777777" w:rsidR="0067124C" w:rsidRDefault="0067124C" w:rsidP="0067124C">
      <w:pPr>
        <w:pStyle w:val="Bullet1"/>
      </w:pPr>
      <w:r>
        <w:t>what works and doesn’t work in GEAP implementation.</w:t>
      </w:r>
    </w:p>
    <w:p w14:paraId="18E9216C" w14:textId="77777777" w:rsidR="0067124C" w:rsidRDefault="0067124C" w:rsidP="0067124C">
      <w:pPr>
        <w:pStyle w:val="Bullet1"/>
      </w:pPr>
      <w:r>
        <w:t>what are key enablers, blockers and challenges in implementation, such as:</w:t>
      </w:r>
    </w:p>
    <w:p w14:paraId="42B3EF4C" w14:textId="77777777" w:rsidR="0067124C" w:rsidRPr="00075BBB" w:rsidRDefault="0067124C" w:rsidP="0067124C">
      <w:pPr>
        <w:pStyle w:val="Bullet2"/>
        <w:ind w:left="644" w:hanging="360"/>
        <w:rPr>
          <w:highlight w:val="lightGray"/>
        </w:rPr>
      </w:pPr>
      <w:commentRangeStart w:id="17"/>
      <w:r w:rsidRPr="00075BBB">
        <w:rPr>
          <w:highlight w:val="lightGray"/>
        </w:rPr>
        <w:t>leadership commitment</w:t>
      </w:r>
      <w:commentRangeEnd w:id="17"/>
      <w:r>
        <w:rPr>
          <w:rStyle w:val="CommentReference"/>
          <w:rFonts w:eastAsiaTheme="minorHAnsi" w:cstheme="minorBidi"/>
        </w:rPr>
        <w:commentReference w:id="17"/>
      </w:r>
    </w:p>
    <w:p w14:paraId="0BEFFFE5" w14:textId="77777777" w:rsidR="0067124C" w:rsidRPr="00075BBB" w:rsidRDefault="0067124C" w:rsidP="0067124C">
      <w:pPr>
        <w:pStyle w:val="Bullet2"/>
        <w:ind w:left="644" w:hanging="360"/>
        <w:rPr>
          <w:highlight w:val="lightGray"/>
        </w:rPr>
      </w:pPr>
      <w:r w:rsidRPr="00075BBB">
        <w:rPr>
          <w:highlight w:val="lightGray"/>
        </w:rPr>
        <w:t>governance</w:t>
      </w:r>
    </w:p>
    <w:p w14:paraId="11389A09" w14:textId="77777777" w:rsidR="0067124C" w:rsidRDefault="0067124C" w:rsidP="0067124C">
      <w:pPr>
        <w:pStyle w:val="Bullet2"/>
        <w:ind w:left="644" w:hanging="360"/>
      </w:pPr>
      <w:r>
        <w:t>organisational or workforce context</w:t>
      </w:r>
    </w:p>
    <w:p w14:paraId="4379F455" w14:textId="77777777" w:rsidR="0067124C" w:rsidRPr="00075BBB" w:rsidRDefault="0067124C" w:rsidP="0067124C">
      <w:pPr>
        <w:pStyle w:val="Bullet2"/>
        <w:ind w:left="644" w:hanging="360"/>
        <w:rPr>
          <w:highlight w:val="lightGray"/>
        </w:rPr>
      </w:pPr>
      <w:r w:rsidRPr="00075BBB">
        <w:rPr>
          <w:highlight w:val="lightGray"/>
        </w:rPr>
        <w:t>ineffective strategies</w:t>
      </w:r>
    </w:p>
    <w:p w14:paraId="389F2909" w14:textId="77777777" w:rsidR="0067124C" w:rsidRPr="00C27741" w:rsidRDefault="0067124C" w:rsidP="0067124C">
      <w:pPr>
        <w:pStyle w:val="Bullet2"/>
        <w:ind w:left="644" w:hanging="360"/>
        <w:rPr>
          <w:highlight w:val="lightGray"/>
        </w:rPr>
      </w:pPr>
      <w:r>
        <w:rPr>
          <w:highlight w:val="lightGray"/>
        </w:rPr>
        <w:t>low understanding</w:t>
      </w:r>
      <w:r w:rsidRPr="00C27741">
        <w:rPr>
          <w:highlight w:val="lightGray"/>
        </w:rPr>
        <w:t xml:space="preserve"> of gender </w:t>
      </w:r>
      <w:r w:rsidRPr="00075BBB">
        <w:rPr>
          <w:highlight w:val="lightGray"/>
        </w:rPr>
        <w:t>equality</w:t>
      </w:r>
      <w:r>
        <w:rPr>
          <w:highlight w:val="lightGray"/>
        </w:rPr>
        <w:t xml:space="preserve"> and/or intersectionality</w:t>
      </w:r>
    </w:p>
    <w:p w14:paraId="4CF61509" w14:textId="77777777" w:rsidR="0067124C" w:rsidRPr="00075BBB" w:rsidRDefault="0067124C" w:rsidP="0067124C">
      <w:pPr>
        <w:pStyle w:val="Bullet2"/>
        <w:ind w:left="644" w:hanging="360"/>
        <w:rPr>
          <w:highlight w:val="lightGray"/>
        </w:rPr>
      </w:pPr>
      <w:r w:rsidRPr="00075BBB">
        <w:rPr>
          <w:highlight w:val="lightGray"/>
        </w:rPr>
        <w:t>resistance to gender equality</w:t>
      </w:r>
      <w:r>
        <w:rPr>
          <w:highlight w:val="lightGray"/>
        </w:rPr>
        <w:t>.</w:t>
      </w:r>
    </w:p>
    <w:p w14:paraId="1791E126" w14:textId="77777777" w:rsidR="0067124C" w:rsidRDefault="0067124C" w:rsidP="0067124C">
      <w:pPr>
        <w:pStyle w:val="Bullet1"/>
      </w:pPr>
      <w:r>
        <w:t>patterns across industries or the broader public sector in relation to achievements and challenges.</w:t>
      </w:r>
    </w:p>
    <w:p w14:paraId="52773157" w14:textId="194F4C2B" w:rsidR="0067124C" w:rsidRPr="00E94C70" w:rsidRDefault="00E94C70" w:rsidP="00F538C8">
      <w:pPr>
        <w:pStyle w:val="Heading3"/>
      </w:pPr>
      <w:r>
        <w:t>Detail</w:t>
      </w:r>
    </w:p>
    <w:p w14:paraId="43E390FC" w14:textId="4A59EDA9" w:rsidR="00E94C70" w:rsidRDefault="008E116A" w:rsidP="0067124C">
      <w:pPr>
        <w:pStyle w:val="Body"/>
      </w:pPr>
      <w:r>
        <w:t>T</w:t>
      </w:r>
      <w:r w:rsidR="0067124C">
        <w:t xml:space="preserve">he </w:t>
      </w:r>
      <w:r w:rsidR="4E38BCA7">
        <w:t xml:space="preserve">2026 </w:t>
      </w:r>
      <w:r w:rsidR="0067124C" w:rsidRPr="102A01D0">
        <w:rPr>
          <w:highlight w:val="lightGray"/>
        </w:rPr>
        <w:t>GEAP</w:t>
      </w:r>
      <w:r w:rsidR="0067124C" w:rsidRPr="004065D3">
        <w:rPr>
          <w:highlight w:val="lightGray"/>
        </w:rPr>
        <w:t xml:space="preserve"> template</w:t>
      </w:r>
      <w:r>
        <w:t xml:space="preserve"> asks a similar question</w:t>
      </w:r>
      <w:r w:rsidR="00411B28">
        <w:t>.</w:t>
      </w:r>
      <w:r w:rsidR="0067124C">
        <w:t xml:space="preserve"> </w:t>
      </w:r>
      <w:r w:rsidR="00411B28">
        <w:rPr>
          <w:b/>
          <w:bCs/>
        </w:rPr>
        <w:t>Q</w:t>
      </w:r>
      <w:r w:rsidR="0067124C" w:rsidRPr="004065D3">
        <w:rPr>
          <w:b/>
          <w:bCs/>
        </w:rPr>
        <w:t>uestion 1</w:t>
      </w:r>
      <w:r w:rsidR="00411B28" w:rsidRPr="00F538C8">
        <w:t xml:space="preserve"> </w:t>
      </w:r>
      <w:r w:rsidR="00411B28">
        <w:t xml:space="preserve">of the GEAP template </w:t>
      </w:r>
      <w:r w:rsidR="00411B28" w:rsidRPr="00F538C8">
        <w:t xml:space="preserve">prompts you to reflect on </w:t>
      </w:r>
      <w:r w:rsidR="004F7D9E">
        <w:t>the implementation of your previous GEAP</w:t>
      </w:r>
      <w:r w:rsidR="0067124C">
        <w:t xml:space="preserve">. </w:t>
      </w:r>
    </w:p>
    <w:p w14:paraId="41ACBBD5" w14:textId="25472D7E" w:rsidR="0067124C" w:rsidRDefault="00E32792" w:rsidP="0067124C">
      <w:pPr>
        <w:pStyle w:val="Body"/>
      </w:pPr>
      <w:r>
        <w:t>To reduce workload, y</w:t>
      </w:r>
      <w:r w:rsidR="0067124C">
        <w:t xml:space="preserve">ou can copy your answer from the </w:t>
      </w:r>
      <w:r w:rsidR="6950119B">
        <w:t xml:space="preserve">2026 </w:t>
      </w:r>
      <w:r w:rsidR="00E94C70">
        <w:t xml:space="preserve">progress report </w:t>
      </w:r>
      <w:r w:rsidR="0067124C">
        <w:t>template into your GEAP</w:t>
      </w:r>
      <w:r>
        <w:t>.</w:t>
      </w:r>
      <w:r w:rsidR="0067124C">
        <w:t xml:space="preserve"> </w:t>
      </w:r>
      <w:proofErr w:type="gramStart"/>
      <w:r>
        <w:t>O</w:t>
      </w:r>
      <w:r w:rsidR="0067124C">
        <w:t>r</w:t>
      </w:r>
      <w:r w:rsidR="00A8191B">
        <w:t>,</w:t>
      </w:r>
      <w:proofErr w:type="gramEnd"/>
      <w:r w:rsidR="0067124C">
        <w:t xml:space="preserve"> </w:t>
      </w:r>
      <w:r>
        <w:t xml:space="preserve">you can </w:t>
      </w:r>
      <w:r w:rsidR="0067124C">
        <w:t xml:space="preserve">reference your answer in your GEAP, such as </w:t>
      </w:r>
      <w:r w:rsidR="00E94C70">
        <w:t xml:space="preserve">‘Refer </w:t>
      </w:r>
      <w:r w:rsidR="0067124C">
        <w:t xml:space="preserve">to </w:t>
      </w:r>
      <w:r w:rsidR="55A3E1AC">
        <w:t xml:space="preserve">2026 </w:t>
      </w:r>
      <w:r w:rsidR="00E94C70">
        <w:t xml:space="preserve">progress report </w:t>
      </w:r>
      <w:r w:rsidR="0067124C">
        <w:t>section 3.2</w:t>
      </w:r>
      <w:r w:rsidR="00E94C70">
        <w:t>’.</w:t>
      </w:r>
    </w:p>
    <w:p w14:paraId="43AB5CA6" w14:textId="77777777" w:rsidR="0067124C" w:rsidRDefault="0067124C" w:rsidP="0067124C">
      <w:pPr>
        <w:pStyle w:val="Heading2"/>
      </w:pPr>
      <w:r>
        <w:t>3.3 Providing other updates on implementation</w:t>
      </w:r>
    </w:p>
    <w:p w14:paraId="200E19DC" w14:textId="77777777" w:rsidR="0067124C" w:rsidRPr="00E94C70" w:rsidRDefault="0067124C" w:rsidP="00F538C8">
      <w:pPr>
        <w:pStyle w:val="Heading3"/>
      </w:pPr>
      <w:r>
        <w:t>Summary</w:t>
      </w:r>
    </w:p>
    <w:p w14:paraId="5802C052" w14:textId="77777777" w:rsidR="0067124C" w:rsidRDefault="0067124C" w:rsidP="00F538C8">
      <w:pPr>
        <w:pStyle w:val="Bullet1"/>
      </w:pPr>
      <w:r w:rsidRPr="00CC3E92">
        <w:t xml:space="preserve">Provide any </w:t>
      </w:r>
      <w:r w:rsidRPr="00E94C70">
        <w:t>other</w:t>
      </w:r>
      <w:r w:rsidRPr="00CC3E92">
        <w:t xml:space="preserve"> updates on your GEAP implementation</w:t>
      </w:r>
      <w:r>
        <w:t xml:space="preserve"> (</w:t>
      </w:r>
      <w:r w:rsidRPr="00F13193">
        <w:rPr>
          <w:b/>
          <w:bCs/>
        </w:rPr>
        <w:t>recommended</w:t>
      </w:r>
      <w:r>
        <w:t>).</w:t>
      </w:r>
    </w:p>
    <w:p w14:paraId="68323E19" w14:textId="559D915B" w:rsidR="00E94C70" w:rsidRPr="00E94C70" w:rsidRDefault="00E94C70" w:rsidP="00F538C8">
      <w:pPr>
        <w:pStyle w:val="Heading3"/>
      </w:pPr>
      <w:r>
        <w:t>Detail</w:t>
      </w:r>
    </w:p>
    <w:p w14:paraId="5F1B949A" w14:textId="58C49973" w:rsidR="0067124C" w:rsidRPr="001A0441" w:rsidRDefault="0067124C" w:rsidP="00F538C8">
      <w:pPr>
        <w:pStyle w:val="Body"/>
      </w:pPr>
      <w:r>
        <w:t>Implementing a GEAP is a complex and long-term project. There may be specific things that you want to tell the Commissioner and others reading your progress report about your GEAP implementation. Please include these updates here.</w:t>
      </w:r>
      <w:r>
        <w:br w:type="page"/>
      </w:r>
    </w:p>
    <w:p w14:paraId="4020B887" w14:textId="77777777" w:rsidR="0067124C" w:rsidRDefault="0067124C" w:rsidP="0067124C">
      <w:pPr>
        <w:pStyle w:val="Heading2"/>
      </w:pPr>
      <w:r>
        <w:t>3.4 Describing resourcing allocation</w:t>
      </w:r>
    </w:p>
    <w:p w14:paraId="4253F20D" w14:textId="77777777" w:rsidR="0067124C" w:rsidRPr="004F37EE" w:rsidRDefault="0067124C" w:rsidP="0067124C">
      <w:pPr>
        <w:pStyle w:val="Heading4"/>
      </w:pPr>
      <w:r>
        <w:t>Summary</w:t>
      </w:r>
    </w:p>
    <w:p w14:paraId="2979C2DA" w14:textId="36F21778" w:rsidR="0067124C" w:rsidRPr="000E72D0" w:rsidRDefault="0067124C" w:rsidP="001B092E">
      <w:pPr>
        <w:pStyle w:val="Bullet1"/>
      </w:pPr>
      <w:r>
        <w:t>Describe the</w:t>
      </w:r>
      <w:r w:rsidRPr="000E72D0">
        <w:t xml:space="preserve"> resourcing allocated to implement</w:t>
      </w:r>
      <w:r>
        <w:t>ing</w:t>
      </w:r>
      <w:r w:rsidRPr="000E72D0">
        <w:t xml:space="preserve"> the strategies </w:t>
      </w:r>
      <w:r>
        <w:t>in</w:t>
      </w:r>
      <w:r w:rsidRPr="000E72D0">
        <w:t xml:space="preserve"> your GEAP</w:t>
      </w:r>
      <w:r>
        <w:t xml:space="preserve"> (</w:t>
      </w:r>
      <w:r w:rsidRPr="00F13193">
        <w:rPr>
          <w:b/>
          <w:bCs/>
        </w:rPr>
        <w:t>recommended</w:t>
      </w:r>
      <w:r>
        <w:t>).</w:t>
      </w:r>
    </w:p>
    <w:p w14:paraId="3F34EEC6" w14:textId="37AE77AD" w:rsidR="0067124C" w:rsidRDefault="00E72787" w:rsidP="00F538C8">
      <w:pPr>
        <w:pStyle w:val="Heading3"/>
      </w:pPr>
      <w:r>
        <w:t>Detail</w:t>
      </w:r>
    </w:p>
    <w:p w14:paraId="6CB90A01" w14:textId="77777777" w:rsidR="0067124C" w:rsidRPr="00CC0B6B" w:rsidRDefault="0067124C" w:rsidP="0067124C">
      <w:pPr>
        <w:pStyle w:val="Body"/>
      </w:pPr>
      <w:r>
        <w:t>Assessing the</w:t>
      </w:r>
      <w:r w:rsidRPr="00CC0B6B">
        <w:t xml:space="preserve"> resources required </w:t>
      </w:r>
      <w:r>
        <w:t xml:space="preserve">and allocated </w:t>
      </w:r>
      <w:r w:rsidRPr="00CC0B6B">
        <w:t xml:space="preserve">to effectively progress your GEAP </w:t>
      </w:r>
      <w:r>
        <w:t>may provide</w:t>
      </w:r>
      <w:r w:rsidRPr="00CC0B6B">
        <w:t xml:space="preserve"> a valuable </w:t>
      </w:r>
      <w:r w:rsidRPr="00A83150">
        <w:t>insight for your organisation, the</w:t>
      </w:r>
      <w:r w:rsidRPr="00CC0B6B">
        <w:t xml:space="preserve"> Commission</w:t>
      </w:r>
      <w:r>
        <w:t>er</w:t>
      </w:r>
      <w:r w:rsidRPr="00CC0B6B">
        <w:t xml:space="preserve">, and other organisations </w:t>
      </w:r>
      <w:r>
        <w:t>that</w:t>
      </w:r>
      <w:r w:rsidRPr="00CC0B6B">
        <w:t xml:space="preserve"> want to improve gender equality within their workplaces.</w:t>
      </w:r>
    </w:p>
    <w:p w14:paraId="11C1ADAB" w14:textId="77777777" w:rsidR="0067124C" w:rsidRDefault="0067124C" w:rsidP="0067124C">
      <w:pPr>
        <w:pStyle w:val="Body"/>
      </w:pPr>
      <w:r w:rsidRPr="00CC0B6B">
        <w:t xml:space="preserve">We encourage you to reflect on the resourcing </w:t>
      </w:r>
      <w:r>
        <w:t xml:space="preserve">required and </w:t>
      </w:r>
      <w:r w:rsidRPr="00CC0B6B">
        <w:t>allocated to implementing your GEAP</w:t>
      </w:r>
      <w:r>
        <w:t xml:space="preserve"> in your progress report</w:t>
      </w:r>
      <w:r w:rsidRPr="00CC0B6B">
        <w:t>.</w:t>
      </w:r>
    </w:p>
    <w:p w14:paraId="4E3042C6" w14:textId="77777777" w:rsidR="0067124C" w:rsidRDefault="0067124C" w:rsidP="0067124C">
      <w:pPr>
        <w:pStyle w:val="Body"/>
      </w:pPr>
      <w:r w:rsidRPr="003B5BB6">
        <w:t>Consider</w:t>
      </w:r>
      <w:r>
        <w:t>:</w:t>
      </w:r>
    </w:p>
    <w:p w14:paraId="2C7E94FA" w14:textId="77777777" w:rsidR="0067124C" w:rsidRPr="00CC0B6B" w:rsidRDefault="0067124C" w:rsidP="0067124C">
      <w:pPr>
        <w:pStyle w:val="Bullet1"/>
      </w:pPr>
      <w:r w:rsidRPr="00CC0B6B">
        <w:t>How many staff members</w:t>
      </w:r>
      <w:r>
        <w:t>/FTE</w:t>
      </w:r>
      <w:r w:rsidRPr="00CC0B6B">
        <w:t xml:space="preserve"> </w:t>
      </w:r>
      <w:r>
        <w:t>we</w:t>
      </w:r>
      <w:r w:rsidRPr="00CC0B6B">
        <w:t xml:space="preserve">re allocated to implementing the strategies? </w:t>
      </w:r>
    </w:p>
    <w:p w14:paraId="0F25F5A4" w14:textId="77777777" w:rsidR="0067124C" w:rsidRPr="00CC0B6B" w:rsidRDefault="0067124C" w:rsidP="0067124C">
      <w:pPr>
        <w:pStyle w:val="Bullet1"/>
      </w:pPr>
      <w:r w:rsidRPr="00CC0B6B">
        <w:t>Who implement</w:t>
      </w:r>
      <w:r>
        <w:t>ed</w:t>
      </w:r>
      <w:r w:rsidRPr="00CC0B6B">
        <w:t xml:space="preserve"> the strategies in your GEAP? What role</w:t>
      </w:r>
      <w:r>
        <w:t>s</w:t>
      </w:r>
      <w:r w:rsidRPr="00CC0B6B">
        <w:t xml:space="preserve"> they perform</w:t>
      </w:r>
      <w:r>
        <w:t>ed and</w:t>
      </w:r>
      <w:r w:rsidRPr="00CC0B6B">
        <w:t xml:space="preserve"> at what level?</w:t>
      </w:r>
    </w:p>
    <w:p w14:paraId="3E4D5E9C" w14:textId="77777777" w:rsidR="0067124C" w:rsidRDefault="0067124C" w:rsidP="0067124C">
      <w:pPr>
        <w:pStyle w:val="Bullet1"/>
      </w:pPr>
      <w:r w:rsidRPr="00CC0B6B">
        <w:t xml:space="preserve">Was </w:t>
      </w:r>
      <w:r>
        <w:t xml:space="preserve">there </w:t>
      </w:r>
      <w:r w:rsidRPr="00CC0B6B">
        <w:t xml:space="preserve">enough resourcing to implement your strategies? </w:t>
      </w:r>
    </w:p>
    <w:p w14:paraId="39334BD5" w14:textId="77777777" w:rsidR="0067124C" w:rsidRDefault="0067124C" w:rsidP="0067124C">
      <w:pPr>
        <w:pStyle w:val="Bullet1"/>
      </w:pPr>
      <w:r w:rsidRPr="00CC0B6B">
        <w:t xml:space="preserve">If not, </w:t>
      </w:r>
      <w:r>
        <w:t>how will your organisation address this in your next GEAP?</w:t>
      </w:r>
    </w:p>
    <w:p w14:paraId="7FF0F6F4" w14:textId="77777777" w:rsidR="0067124C" w:rsidRDefault="0067124C" w:rsidP="0067124C">
      <w:pPr>
        <w:pStyle w:val="Bullet2"/>
        <w:ind w:left="644" w:hanging="360"/>
      </w:pPr>
      <w:r>
        <w:t>Note that you are required under the Act to allocate adequate resourcing to implementing your GEAP.</w:t>
      </w:r>
    </w:p>
    <w:p w14:paraId="5A3EE0E8" w14:textId="77777777" w:rsidR="0067124C" w:rsidRDefault="0067124C" w:rsidP="0067124C">
      <w:pPr>
        <w:pStyle w:val="Bullet1"/>
      </w:pPr>
      <w:r>
        <w:t>Was financial, technological, physical and/or time resourcing adequate?</w:t>
      </w:r>
    </w:p>
    <w:p w14:paraId="593E0AAF" w14:textId="05BCEA1B" w:rsidR="0067124C" w:rsidRDefault="0067124C" w:rsidP="0067124C">
      <w:pPr>
        <w:pStyle w:val="Bullet1"/>
      </w:pPr>
      <w:r>
        <w:t>Any other assessment.</w:t>
      </w:r>
    </w:p>
    <w:p w14:paraId="3C2CCD9E" w14:textId="77777777" w:rsidR="0067124C" w:rsidRPr="00145D91" w:rsidRDefault="0067124C" w:rsidP="0067124C">
      <w:pPr>
        <w:pStyle w:val="NoSpacing"/>
      </w:pPr>
      <w:r>
        <w:br w:type="page"/>
      </w:r>
      <w:bookmarkStart w:id="18" w:name="_Workplace_gender_equality"/>
      <w:bookmarkStart w:id="19" w:name="_RECOMMENDATION_1:_Refer"/>
      <w:bookmarkStart w:id="20" w:name="_Commissioner’s_recommendations_for"/>
      <w:bookmarkStart w:id="21" w:name="_Appendix_A"/>
      <w:bookmarkStart w:id="22" w:name="_Toc129686726"/>
      <w:bookmarkStart w:id="23" w:name="_Toc129686734"/>
      <w:bookmarkEnd w:id="18"/>
      <w:bookmarkEnd w:id="19"/>
      <w:bookmarkEnd w:id="20"/>
      <w:bookmarkEnd w:id="21"/>
    </w:p>
    <w:bookmarkEnd w:id="22"/>
    <w:p w14:paraId="1DD8EB69" w14:textId="528F6756" w:rsidR="0067124C" w:rsidRPr="00BD265C" w:rsidRDefault="00BD3F2C" w:rsidP="0067124C">
      <w:pPr>
        <w:pStyle w:val="Heading1"/>
        <w:rPr>
          <w:szCs w:val="36"/>
        </w:rPr>
      </w:pPr>
      <w:r>
        <w:t>How to submit and publish your progress report</w:t>
      </w:r>
    </w:p>
    <w:p w14:paraId="25CBD9C9" w14:textId="77777777" w:rsidR="0067124C" w:rsidRPr="00296F07" w:rsidRDefault="0067124C" w:rsidP="00F538C8">
      <w:pPr>
        <w:pStyle w:val="Heading2"/>
      </w:pPr>
      <w:bookmarkStart w:id="24" w:name="_Gender_Impact_Assessments"/>
      <w:bookmarkEnd w:id="24"/>
      <w:r>
        <w:t>Submission</w:t>
      </w:r>
    </w:p>
    <w:p w14:paraId="186EC82B" w14:textId="77777777" w:rsidR="0067124C" w:rsidRDefault="0067124C" w:rsidP="00F538C8">
      <w:pPr>
        <w:pStyle w:val="Body"/>
      </w:pPr>
      <w:r>
        <w:t xml:space="preserve">Your 2026 progress report is due to the Commissioner on </w:t>
      </w:r>
      <w:r>
        <w:rPr>
          <w:b/>
          <w:bCs/>
        </w:rPr>
        <w:t xml:space="preserve">1 May 2026, </w:t>
      </w:r>
      <w:r>
        <w:t xml:space="preserve">unless you have an approved extension. </w:t>
      </w:r>
    </w:p>
    <w:p w14:paraId="6D01CC6C" w14:textId="51FD6993" w:rsidR="0067124C" w:rsidRPr="004B0914" w:rsidRDefault="0067124C" w:rsidP="00F538C8">
      <w:pPr>
        <w:pStyle w:val="Body"/>
      </w:pPr>
      <w:r>
        <w:t xml:space="preserve">You may submit </w:t>
      </w:r>
      <w:r w:rsidRPr="00296F07">
        <w:t>your</w:t>
      </w:r>
      <w:r>
        <w:t xml:space="preserve"> progress report earlier.</w:t>
      </w:r>
    </w:p>
    <w:p w14:paraId="749E39B1" w14:textId="4E1E7BBB" w:rsidR="00296F07" w:rsidRDefault="0067124C" w:rsidP="00296F07">
      <w:pPr>
        <w:pStyle w:val="Body"/>
      </w:pPr>
      <w:r w:rsidRPr="00B31A20">
        <w:t xml:space="preserve">Submit </w:t>
      </w:r>
      <w:r w:rsidRPr="00296F07">
        <w:t>your</w:t>
      </w:r>
      <w:r>
        <w:t xml:space="preserve"> progress report using the </w:t>
      </w:r>
      <w:r w:rsidR="62F0B962" w:rsidRPr="19D5C13D">
        <w:rPr>
          <w:highlight w:val="lightGray"/>
        </w:rPr>
        <w:t xml:space="preserve">2026 </w:t>
      </w:r>
      <w:r w:rsidR="00296F07">
        <w:rPr>
          <w:highlight w:val="lightGray"/>
        </w:rPr>
        <w:t>progress report</w:t>
      </w:r>
      <w:r w:rsidR="00296F07" w:rsidRPr="00B31A20">
        <w:rPr>
          <w:highlight w:val="lightGray"/>
        </w:rPr>
        <w:t xml:space="preserve"> </w:t>
      </w:r>
      <w:r w:rsidRPr="00B31A20">
        <w:rPr>
          <w:highlight w:val="lightGray"/>
        </w:rPr>
        <w:t xml:space="preserve">template </w:t>
      </w:r>
      <w:r w:rsidRPr="006E3311">
        <w:t xml:space="preserve">via the </w:t>
      </w:r>
      <w:hyperlink r:id="rId38">
        <w:r w:rsidRPr="19D5C13D">
          <w:rPr>
            <w:rStyle w:val="Hyperlink"/>
          </w:rPr>
          <w:t>reporting platform</w:t>
        </w:r>
      </w:hyperlink>
      <w:r w:rsidRPr="006E3311">
        <w:t>.</w:t>
      </w:r>
      <w:r>
        <w:t xml:space="preserve"> </w:t>
      </w:r>
    </w:p>
    <w:p w14:paraId="790C2AEA" w14:textId="0BB9ADEC" w:rsidR="0067124C" w:rsidRDefault="00296F07" w:rsidP="00F538C8">
      <w:pPr>
        <w:pStyle w:val="Body"/>
      </w:pPr>
      <w:r>
        <w:t>You must use the</w:t>
      </w:r>
      <w:r w:rsidR="0067124C">
        <w:t xml:space="preserve"> template</w:t>
      </w:r>
      <w:r>
        <w:t>.</w:t>
      </w:r>
      <w:r w:rsidR="0067124C">
        <w:rPr>
          <w:rStyle w:val="FootnoteReference"/>
        </w:rPr>
        <w:footnoteReference w:id="6"/>
      </w:r>
    </w:p>
    <w:p w14:paraId="62D7518F" w14:textId="77777777" w:rsidR="0067124C" w:rsidRDefault="0067124C" w:rsidP="00F538C8">
      <w:pPr>
        <w:pStyle w:val="Body"/>
      </w:pPr>
      <w:r w:rsidRPr="004B0914">
        <w:t>Note that supporting documents will not be accepted</w:t>
      </w:r>
      <w:r>
        <w:t>.</w:t>
      </w:r>
    </w:p>
    <w:p w14:paraId="5A336E07" w14:textId="2474B3C1" w:rsidR="00D612CF" w:rsidRPr="00F538C8" w:rsidRDefault="00D612CF" w:rsidP="00D612CF">
      <w:pPr>
        <w:pStyle w:val="Body"/>
      </w:pPr>
      <w:r w:rsidRPr="00F538C8">
        <w:t xml:space="preserve">If you experience unforeseen circumstances that will impact whether you can complete your </w:t>
      </w:r>
      <w:r w:rsidR="006A2D4D">
        <w:t xml:space="preserve">progress report </w:t>
      </w:r>
      <w:r w:rsidRPr="00F538C8">
        <w:t>on time, you can request an extension</w:t>
      </w:r>
      <w:r w:rsidR="006A2D4D">
        <w:t>.</w:t>
      </w:r>
      <w:r w:rsidRPr="00F538C8">
        <w:t xml:space="preserve"> Should you </w:t>
      </w:r>
      <w:r w:rsidR="009E41F2">
        <w:t xml:space="preserve">require </w:t>
      </w:r>
      <w:r w:rsidRPr="00F538C8">
        <w:t xml:space="preserve">this, send a request to the Commissioner </w:t>
      </w:r>
      <w:r w:rsidR="00364CF3">
        <w:t>as soon as possible</w:t>
      </w:r>
      <w:r w:rsidRPr="00F538C8">
        <w:t xml:space="preserve"> before the submission date. For further information on extension requests, visit the </w:t>
      </w:r>
      <w:r w:rsidRPr="00F538C8">
        <w:rPr>
          <w:highlight w:val="lightGray"/>
        </w:rPr>
        <w:t>Commissioner’s extension request page.</w:t>
      </w:r>
    </w:p>
    <w:p w14:paraId="0210E467" w14:textId="67801464" w:rsidR="00D612CF" w:rsidRPr="00F538C8" w:rsidRDefault="00D612CF" w:rsidP="00D612CF">
      <w:pPr>
        <w:pStyle w:val="Body"/>
      </w:pPr>
      <w:r w:rsidRPr="00F538C8">
        <w:t xml:space="preserve">Note that </w:t>
      </w:r>
      <w:r w:rsidR="005322BA">
        <w:t>an individual</w:t>
      </w:r>
      <w:r w:rsidR="00543B23">
        <w:t xml:space="preserve"> duty holder</w:t>
      </w:r>
      <w:r w:rsidRPr="00F538C8">
        <w:t xml:space="preserve"> extension </w:t>
      </w:r>
      <w:r w:rsidR="00543B23">
        <w:t>will</w:t>
      </w:r>
      <w:r w:rsidRPr="00F538C8">
        <w:t xml:space="preserve"> not change future deadlines under the </w:t>
      </w:r>
      <w:hyperlink r:id="rId39" w:history="1">
        <w:r w:rsidR="00D31D0A" w:rsidRPr="00A6054A">
          <w:rPr>
            <w:rStyle w:val="Hyperlink"/>
            <w:i/>
            <w:iCs/>
          </w:rPr>
          <w:t>Gender Equality Act 2020</w:t>
        </w:r>
      </w:hyperlink>
      <w:r w:rsidR="00D31D0A">
        <w:t>.</w:t>
      </w:r>
    </w:p>
    <w:p w14:paraId="409D9116" w14:textId="77777777" w:rsidR="0067124C" w:rsidRPr="00296F07" w:rsidRDefault="0067124C" w:rsidP="00F538C8">
      <w:pPr>
        <w:pStyle w:val="Heading2"/>
      </w:pPr>
      <w:r>
        <w:t>Reporting platform</w:t>
      </w:r>
    </w:p>
    <w:p w14:paraId="77D3C5DE" w14:textId="77777777" w:rsidR="0067124C" w:rsidRDefault="0067124C" w:rsidP="00F538C8">
      <w:pPr>
        <w:pStyle w:val="Body"/>
      </w:pPr>
      <w:r>
        <w:t>Your reporting process owner and platform users have access to the reporting platform.</w:t>
      </w:r>
    </w:p>
    <w:p w14:paraId="125ABD6D" w14:textId="77777777" w:rsidR="0067124C" w:rsidRDefault="0067124C" w:rsidP="00F538C8">
      <w:pPr>
        <w:pStyle w:val="Body"/>
      </w:pPr>
      <w:r>
        <w:t xml:space="preserve">To request new or additional reporting platform users, fill this </w:t>
      </w:r>
      <w:hyperlink r:id="rId40" w:history="1">
        <w:r w:rsidRPr="00A6043B">
          <w:rPr>
            <w:rStyle w:val="Hyperlink"/>
          </w:rPr>
          <w:t xml:space="preserve">Nomination of </w:t>
        </w:r>
        <w:r w:rsidRPr="00A6043B">
          <w:rPr>
            <w:rStyle w:val="Hyperlink"/>
            <w:i/>
            <w:iCs/>
          </w:rPr>
          <w:t>Gender Equality Act</w:t>
        </w:r>
        <w:r w:rsidRPr="00A6043B">
          <w:rPr>
            <w:rStyle w:val="Hyperlink"/>
          </w:rPr>
          <w:t xml:space="preserve"> reporting platform users</w:t>
        </w:r>
      </w:hyperlink>
      <w:r>
        <w:t xml:space="preserve"> form. Note that only reporting process owners can fill in this form. </w:t>
      </w:r>
    </w:p>
    <w:p w14:paraId="3E21C81A" w14:textId="77777777" w:rsidR="0067124C" w:rsidRDefault="0067124C" w:rsidP="00F538C8">
      <w:pPr>
        <w:pStyle w:val="Body"/>
      </w:pPr>
      <w:r w:rsidRPr="00940071">
        <w:t>If</w:t>
      </w:r>
      <w:r>
        <w:t xml:space="preserve"> </w:t>
      </w:r>
      <w:r w:rsidRPr="00940071">
        <w:t xml:space="preserve">you have questions about how to use this </w:t>
      </w:r>
      <w:proofErr w:type="gramStart"/>
      <w:r w:rsidRPr="00940071">
        <w:t>form</w:t>
      </w:r>
      <w:proofErr w:type="gramEnd"/>
      <w:r w:rsidRPr="00940071">
        <w:t xml:space="preserve"> </w:t>
      </w:r>
      <w:r w:rsidRPr="00296F07">
        <w:t>please</w:t>
      </w:r>
      <w:r w:rsidRPr="00940071">
        <w:t xml:space="preserve"> contact the Commission</w:t>
      </w:r>
      <w:r>
        <w:t>er’s team</w:t>
      </w:r>
      <w:r w:rsidRPr="00940071">
        <w:t xml:space="preserve"> </w:t>
      </w:r>
      <w:r>
        <w:t>via</w:t>
      </w:r>
      <w:r w:rsidRPr="00940071">
        <w:rPr>
          <w:rFonts w:ascii="Cambria" w:hAnsi="Cambria" w:cs="Cambria"/>
        </w:rPr>
        <w:t> </w:t>
      </w:r>
      <w:hyperlink r:id="rId41" w:history="1">
        <w:r w:rsidRPr="00940071">
          <w:rPr>
            <w:rStyle w:val="Hyperlink"/>
          </w:rPr>
          <w:t>enquiries@genderequalitycommission.vic.gov.au</w:t>
        </w:r>
      </w:hyperlink>
    </w:p>
    <w:p w14:paraId="5ECC00A5" w14:textId="171A9D1C" w:rsidR="0067124C" w:rsidRDefault="0067124C" w:rsidP="00F538C8">
      <w:pPr>
        <w:pStyle w:val="Heading2"/>
      </w:pPr>
      <w:r>
        <w:t xml:space="preserve">Publishing your progress report on your website </w:t>
      </w:r>
    </w:p>
    <w:p w14:paraId="5341A995" w14:textId="629EB63D" w:rsidR="0067124C" w:rsidRDefault="0067124C" w:rsidP="00F538C8">
      <w:pPr>
        <w:pStyle w:val="Body"/>
      </w:pPr>
      <w:r>
        <w:t xml:space="preserve">You </w:t>
      </w:r>
      <w:r w:rsidR="00296F07">
        <w:t>must</w:t>
      </w:r>
      <w:r>
        <w:t xml:space="preserve"> publish your progress report on your website.</w:t>
      </w:r>
    </w:p>
    <w:p w14:paraId="1913ABB2" w14:textId="77777777" w:rsidR="0067124C" w:rsidRDefault="0067124C" w:rsidP="00F538C8">
      <w:pPr>
        <w:pStyle w:val="Body"/>
      </w:pPr>
      <w:r w:rsidRPr="00296F07">
        <w:t>Publishing</w:t>
      </w:r>
      <w:r>
        <w:t xml:space="preserve"> guidelines:</w:t>
      </w:r>
    </w:p>
    <w:p w14:paraId="22AE9B17" w14:textId="77777777" w:rsidR="0067124C" w:rsidRDefault="0067124C" w:rsidP="00F538C8">
      <w:pPr>
        <w:pStyle w:val="Body"/>
      </w:pPr>
      <w:r>
        <w:t>You may:</w:t>
      </w:r>
    </w:p>
    <w:p w14:paraId="1F808984" w14:textId="7DC23F10" w:rsidR="0067124C" w:rsidRDefault="00BD3F2C" w:rsidP="00F538C8">
      <w:pPr>
        <w:pStyle w:val="Bullet1"/>
      </w:pPr>
      <w:r>
        <w:t xml:space="preserve">publish </w:t>
      </w:r>
      <w:r w:rsidR="0067124C">
        <w:t xml:space="preserve">as </w:t>
      </w:r>
      <w:r w:rsidR="0067124C" w:rsidRPr="00296F07">
        <w:t>soon</w:t>
      </w:r>
      <w:r w:rsidR="0067124C">
        <w:t xml:space="preserve"> as reasonably practicable after submission (i.e. before the Commissioner’s compliance assessment)</w:t>
      </w:r>
    </w:p>
    <w:p w14:paraId="21283D5C" w14:textId="1FFA4126" w:rsidR="0067124C" w:rsidRDefault="00BD3F2C" w:rsidP="00F538C8">
      <w:pPr>
        <w:pStyle w:val="Bullet1"/>
      </w:pPr>
      <w:r>
        <w:t xml:space="preserve">wait </w:t>
      </w:r>
      <w:r w:rsidR="0067124C">
        <w:t xml:space="preserve">to publish after </w:t>
      </w:r>
      <w:r w:rsidR="0067124C" w:rsidRPr="00296F07">
        <w:t>the</w:t>
      </w:r>
      <w:r w:rsidR="0067124C">
        <w:t xml:space="preserve"> Commissioner has notified you of the compliance outcome of your progress report.</w:t>
      </w:r>
    </w:p>
    <w:p w14:paraId="1FC6B2F0" w14:textId="45B8BB45" w:rsidR="0067124C" w:rsidRDefault="0067124C" w:rsidP="00F538C8">
      <w:pPr>
        <w:pStyle w:val="Bodyafterbullets"/>
      </w:pPr>
      <w:r>
        <w:t xml:space="preserve">If you </w:t>
      </w:r>
      <w:r w:rsidRPr="00BD3F2C">
        <w:t>choose</w:t>
      </w:r>
      <w:r>
        <w:t xml:space="preserve"> </w:t>
      </w:r>
      <w:r w:rsidR="00BD3F2C">
        <w:t xml:space="preserve">the first </w:t>
      </w:r>
      <w:r>
        <w:t xml:space="preserve">option and </w:t>
      </w:r>
      <w:r w:rsidR="00252DD1">
        <w:t>the Commissioner</w:t>
      </w:r>
      <w:r w:rsidR="00BD3F2C">
        <w:t xml:space="preserve"> determine</w:t>
      </w:r>
      <w:r w:rsidR="00252DD1">
        <w:t>s</w:t>
      </w:r>
      <w:r w:rsidR="00BD3F2C">
        <w:t xml:space="preserve"> you need to make</w:t>
      </w:r>
      <w:r>
        <w:t xml:space="preserve"> updates to your progress report:</w:t>
      </w:r>
    </w:p>
    <w:p w14:paraId="24CB63BA" w14:textId="77777777" w:rsidR="0067124C" w:rsidRDefault="0067124C" w:rsidP="0067124C">
      <w:pPr>
        <w:pStyle w:val="Bullet1"/>
      </w:pPr>
      <w:r>
        <w:t>you will need to update your published version (required)</w:t>
      </w:r>
    </w:p>
    <w:p w14:paraId="29BD9570" w14:textId="77777777" w:rsidR="0067124C" w:rsidRDefault="0067124C" w:rsidP="0067124C">
      <w:pPr>
        <w:pStyle w:val="Bullet1"/>
      </w:pPr>
      <w:r>
        <w:t>include a disclaimer noting your progress report has not been assessed by the Commissioner and may be subject to change (recommended).</w:t>
      </w:r>
    </w:p>
    <w:p w14:paraId="3F53ABAD" w14:textId="77A220C8" w:rsidR="0067124C" w:rsidRDefault="0067124C" w:rsidP="001B092E">
      <w:pPr>
        <w:pStyle w:val="Body"/>
      </w:pPr>
      <w:r>
        <w:t>If you choose</w:t>
      </w:r>
      <w:r w:rsidRPr="00BD3F2C">
        <w:t xml:space="preserve"> </w:t>
      </w:r>
      <w:r w:rsidR="00BD3F2C">
        <w:t>the second option,</w:t>
      </w:r>
      <w:r>
        <w:t xml:space="preserve"> you should publish your progress report within </w:t>
      </w:r>
      <w:r w:rsidR="00BD3F2C">
        <w:rPr>
          <w:b/>
          <w:bCs/>
        </w:rPr>
        <w:t>3</w:t>
      </w:r>
      <w:r w:rsidR="00BD3F2C" w:rsidRPr="002C42E3">
        <w:rPr>
          <w:b/>
          <w:bCs/>
        </w:rPr>
        <w:t xml:space="preserve"> </w:t>
      </w:r>
      <w:r w:rsidRPr="002C42E3">
        <w:rPr>
          <w:b/>
          <w:bCs/>
        </w:rPr>
        <w:t>months</w:t>
      </w:r>
      <w:r>
        <w:t xml:space="preserve"> of notification of compliance outcomes.</w:t>
      </w:r>
    </w:p>
    <w:p w14:paraId="07EDECA9" w14:textId="77777777" w:rsidR="0067124C" w:rsidRDefault="0067124C" w:rsidP="0067124C">
      <w:pPr>
        <w:pStyle w:val="Body"/>
      </w:pPr>
      <w:r>
        <w:t xml:space="preserve">The Commissioner will publish progress reports on the </w:t>
      </w:r>
      <w:hyperlink r:id="rId42" w:history="1">
        <w:r w:rsidRPr="00824862">
          <w:rPr>
            <w:rStyle w:val="Hyperlink"/>
          </w:rPr>
          <w:t>Insights Portal</w:t>
        </w:r>
      </w:hyperlink>
      <w:r>
        <w:t>.</w:t>
      </w:r>
    </w:p>
    <w:p w14:paraId="01512E8F" w14:textId="167AB8D4" w:rsidR="00BD3F2C" w:rsidRDefault="0067124C" w:rsidP="0067124C">
      <w:pPr>
        <w:pStyle w:val="Body"/>
        <w:rPr>
          <w:rFonts w:cstheme="minorBidi"/>
        </w:rPr>
      </w:pPr>
      <w:r>
        <w:t xml:space="preserve">Please note that the Commissioner </w:t>
      </w:r>
      <w:r w:rsidR="00A67C3C">
        <w:t>will</w:t>
      </w:r>
      <w:r w:rsidR="00BD3F2C">
        <w:t xml:space="preserve"> not</w:t>
      </w:r>
      <w:r>
        <w:t xml:space="preserve"> accept supporting documents</w:t>
      </w:r>
      <w:r w:rsidR="00BD3F2C">
        <w:t>. Please provide a</w:t>
      </w:r>
      <w:r>
        <w:t>ll information</w:t>
      </w:r>
      <w:r w:rsidR="00BD3F2C">
        <w:t xml:space="preserve"> using</w:t>
      </w:r>
      <w:r>
        <w:t xml:space="preserve"> the template</w:t>
      </w:r>
      <w:r>
        <w:rPr>
          <w:rFonts w:cstheme="minorBidi"/>
        </w:rPr>
        <w:t xml:space="preserve">. </w:t>
      </w:r>
    </w:p>
    <w:p w14:paraId="0EB469AD" w14:textId="343DAB4E" w:rsidR="00BD3F2C" w:rsidRPr="001B092E" w:rsidRDefault="0067124C" w:rsidP="0067124C">
      <w:pPr>
        <w:pStyle w:val="Body"/>
      </w:pPr>
      <w:r w:rsidRPr="001B092E">
        <w:t xml:space="preserve">If you would like to include additional information, you may </w:t>
      </w:r>
      <w:r w:rsidR="00BD3F2C" w:rsidRPr="001B092E">
        <w:t>use</w:t>
      </w:r>
      <w:r w:rsidRPr="001B092E">
        <w:t xml:space="preserve"> the </w:t>
      </w:r>
      <w:r w:rsidR="00BD3F2C" w:rsidRPr="001B092E">
        <w:t>‘A</w:t>
      </w:r>
      <w:r w:rsidRPr="001B092E">
        <w:t xml:space="preserve">ny other additions or </w:t>
      </w:r>
      <w:r w:rsidR="00BD3F2C" w:rsidRPr="001B092E">
        <w:t xml:space="preserve">comments’ section </w:t>
      </w:r>
      <w:r w:rsidRPr="001B092E">
        <w:t xml:space="preserve">at the end of the template. </w:t>
      </w:r>
    </w:p>
    <w:p w14:paraId="4D9CB695" w14:textId="4C91C160" w:rsidR="0067124C" w:rsidRDefault="0067124C" w:rsidP="0067124C">
      <w:pPr>
        <w:pStyle w:val="Body"/>
      </w:pPr>
      <w:r>
        <w:t>Additional information you may wish to provide in this section includes:</w:t>
      </w:r>
    </w:p>
    <w:p w14:paraId="10154BE5" w14:textId="7FC28FB8" w:rsidR="0067124C" w:rsidRPr="00D57A58" w:rsidRDefault="00BD3F2C" w:rsidP="0067124C">
      <w:pPr>
        <w:pStyle w:val="Bullet1"/>
      </w:pPr>
      <w:r>
        <w:t>a</w:t>
      </w:r>
      <w:r w:rsidRPr="005809DC">
        <w:t xml:space="preserve"> </w:t>
      </w:r>
      <w:r w:rsidR="0067124C" w:rsidRPr="005809DC">
        <w:t>more detailed analysis of your data</w:t>
      </w:r>
      <w:r w:rsidR="0067124C">
        <w:t xml:space="preserve">, or </w:t>
      </w:r>
      <w:r w:rsidR="0067124C" w:rsidRPr="00B66F0F">
        <w:rPr>
          <w:rFonts w:cstheme="minorBidi"/>
        </w:rPr>
        <w:t>infographics</w:t>
      </w:r>
    </w:p>
    <w:p w14:paraId="1C0D5AE6" w14:textId="747C36B2" w:rsidR="0067124C" w:rsidRPr="00B66F0F" w:rsidRDefault="00BD3F2C" w:rsidP="0067124C">
      <w:pPr>
        <w:pStyle w:val="Bullet1"/>
      </w:pPr>
      <w:r>
        <w:rPr>
          <w:rFonts w:cstheme="minorBidi"/>
        </w:rPr>
        <w:t>a</w:t>
      </w:r>
      <w:r w:rsidRPr="00B66F0F">
        <w:rPr>
          <w:rFonts w:cstheme="minorBidi"/>
        </w:rPr>
        <w:t xml:space="preserve">dditional </w:t>
      </w:r>
      <w:r w:rsidR="0067124C" w:rsidRPr="00B66F0F">
        <w:rPr>
          <w:rFonts w:cstheme="minorBidi"/>
        </w:rPr>
        <w:t>details about GIAs undertaken</w:t>
      </w:r>
    </w:p>
    <w:p w14:paraId="040D273F" w14:textId="055013F1" w:rsidR="0067124C" w:rsidRPr="00A91518" w:rsidRDefault="00BD3F2C" w:rsidP="00F538C8">
      <w:pPr>
        <w:pStyle w:val="Bullet1"/>
      </w:pPr>
      <w:r w:rsidRPr="00BD3F2C">
        <w:rPr>
          <w:rFonts w:cstheme="minorBidi"/>
        </w:rPr>
        <w:t xml:space="preserve">further </w:t>
      </w:r>
      <w:r w:rsidR="0067124C" w:rsidRPr="00BD3F2C">
        <w:rPr>
          <w:rFonts w:cstheme="minorBidi"/>
        </w:rPr>
        <w:t>summary information.</w:t>
      </w:r>
    </w:p>
    <w:p w14:paraId="68974DE0" w14:textId="77777777" w:rsidR="00296F07" w:rsidRPr="00F538C8" w:rsidRDefault="00296F07" w:rsidP="00F538C8">
      <w:pPr>
        <w:pStyle w:val="Body"/>
      </w:pPr>
      <w:bookmarkStart w:id="25" w:name="_Appendix_B"/>
      <w:bookmarkEnd w:id="23"/>
      <w:bookmarkEnd w:id="25"/>
      <w:r>
        <w:br w:type="page"/>
      </w:r>
    </w:p>
    <w:p w14:paraId="07A744CD" w14:textId="2238656A" w:rsidR="0067124C" w:rsidRPr="00A938F4" w:rsidRDefault="0067124C" w:rsidP="0067124C">
      <w:pPr>
        <w:pStyle w:val="Heading1"/>
        <w:rPr>
          <w:rFonts w:eastAsia="VIC" w:cs="VIC"/>
          <w:szCs w:val="36"/>
        </w:rPr>
      </w:pPr>
      <w:r w:rsidRPr="005C0AF7">
        <w:t>Appendix</w:t>
      </w:r>
      <w:r>
        <w:t>: g</w:t>
      </w:r>
      <w:r w:rsidRPr="555EDD6B">
        <w:rPr>
          <w:rFonts w:eastAsia="VIC" w:cs="VIC"/>
          <w:szCs w:val="36"/>
        </w:rPr>
        <w:t xml:space="preserve">uidance </w:t>
      </w:r>
      <w:r>
        <w:rPr>
          <w:rFonts w:eastAsia="VIC" w:cs="VIC"/>
          <w:szCs w:val="36"/>
        </w:rPr>
        <w:t>for changed or new entities</w:t>
      </w:r>
    </w:p>
    <w:p w14:paraId="370726B1" w14:textId="77777777" w:rsidR="0067124C" w:rsidRPr="00F538C8" w:rsidRDefault="0067124C" w:rsidP="00F538C8">
      <w:pPr>
        <w:pStyle w:val="Body"/>
        <w:rPr>
          <w:b/>
          <w:bCs/>
          <w:i/>
        </w:rPr>
      </w:pPr>
      <w:bookmarkStart w:id="26" w:name="_Toc129686903"/>
      <w:bookmarkStart w:id="27" w:name="_Toc129959313"/>
      <w:bookmarkStart w:id="28" w:name="_Toc130213063"/>
      <w:bookmarkStart w:id="29" w:name="_Toc132101273"/>
      <w:bookmarkStart w:id="30" w:name="_Toc184918474"/>
      <w:r w:rsidRPr="00F538C8">
        <w:rPr>
          <w:b/>
          <w:bCs/>
        </w:rPr>
        <w:t>My organisation has become a new entity recently and has not submitted a GEAP. Are we required to submit a progress report?</w:t>
      </w:r>
      <w:bookmarkEnd w:id="26"/>
      <w:bookmarkEnd w:id="27"/>
      <w:bookmarkEnd w:id="28"/>
      <w:bookmarkEnd w:id="29"/>
      <w:bookmarkEnd w:id="30"/>
      <w:r w:rsidRPr="00F538C8">
        <w:rPr>
          <w:b/>
          <w:bCs/>
        </w:rPr>
        <w:t xml:space="preserve"> </w:t>
      </w:r>
    </w:p>
    <w:p w14:paraId="28643350" w14:textId="77777777" w:rsidR="0067124C" w:rsidRDefault="0067124C" w:rsidP="0067124C">
      <w:pPr>
        <w:pStyle w:val="Body"/>
      </w:pPr>
      <w:r>
        <w:t xml:space="preserve">If your new organisation has not previously submitted a GEAP, you are not required to submit a progress report. Your next obligation will be to submit a GEAP in 2026. If you are unsure, please email </w:t>
      </w:r>
      <w:hyperlink r:id="rId43" w:history="1">
        <w:r w:rsidRPr="00E02650">
          <w:rPr>
            <w:rStyle w:val="Hyperlink"/>
          </w:rPr>
          <w:t>enquiries@genderequalitycommission.vic.gov.au</w:t>
        </w:r>
      </w:hyperlink>
      <w:r>
        <w:t xml:space="preserve">. </w:t>
      </w:r>
    </w:p>
    <w:p w14:paraId="5C63E598" w14:textId="77777777" w:rsidR="0067124C" w:rsidRPr="00F538C8" w:rsidRDefault="0067124C" w:rsidP="00F538C8">
      <w:pPr>
        <w:pStyle w:val="Body"/>
        <w:rPr>
          <w:b/>
          <w:bCs/>
        </w:rPr>
      </w:pPr>
      <w:bookmarkStart w:id="31" w:name="_Toc129686904"/>
      <w:bookmarkStart w:id="32" w:name="_Toc129959314"/>
      <w:bookmarkStart w:id="33" w:name="_Toc130213064"/>
      <w:bookmarkStart w:id="34" w:name="_Toc132101274"/>
      <w:bookmarkStart w:id="35" w:name="_Toc184918475"/>
      <w:r w:rsidRPr="00F538C8">
        <w:rPr>
          <w:b/>
          <w:bCs/>
        </w:rPr>
        <w:t>My organisation has experienced a significant structural change. How do we report on progress?</w:t>
      </w:r>
      <w:bookmarkEnd w:id="31"/>
      <w:bookmarkEnd w:id="32"/>
      <w:bookmarkEnd w:id="33"/>
      <w:bookmarkEnd w:id="34"/>
      <w:bookmarkEnd w:id="35"/>
    </w:p>
    <w:p w14:paraId="7F6BE04A" w14:textId="77777777" w:rsidR="0067124C" w:rsidRDefault="0067124C" w:rsidP="0067124C">
      <w:pPr>
        <w:pStyle w:val="Body"/>
        <w:rPr>
          <w:rFonts w:eastAsia="VIC" w:cs="VIC"/>
        </w:rPr>
      </w:pPr>
      <w:r>
        <w:rPr>
          <w:rFonts w:eastAsia="VIC" w:cs="VIC"/>
        </w:rPr>
        <w:t>Your organisation may have experienced a significant change, such as:</w:t>
      </w:r>
    </w:p>
    <w:p w14:paraId="6888828C" w14:textId="77777777" w:rsidR="0067124C" w:rsidRDefault="0067124C" w:rsidP="0067124C">
      <w:pPr>
        <w:pStyle w:val="Bullet1"/>
      </w:pPr>
      <w:r>
        <w:t>merging with another organisation</w:t>
      </w:r>
    </w:p>
    <w:p w14:paraId="580524E0" w14:textId="77777777" w:rsidR="0067124C" w:rsidRDefault="0067124C" w:rsidP="0067124C">
      <w:pPr>
        <w:pStyle w:val="Bullet1"/>
      </w:pPr>
      <w:r>
        <w:t>splitting into multiple new organisations</w:t>
      </w:r>
    </w:p>
    <w:p w14:paraId="5864946B" w14:textId="77777777" w:rsidR="0067124C" w:rsidRDefault="0067124C" w:rsidP="0067124C">
      <w:pPr>
        <w:pStyle w:val="Bullet1"/>
      </w:pPr>
      <w:r>
        <w:t xml:space="preserve">changing its name. </w:t>
      </w:r>
    </w:p>
    <w:p w14:paraId="259EAE0E" w14:textId="77777777" w:rsidR="0067124C" w:rsidRDefault="0067124C" w:rsidP="001B092E">
      <w:pPr>
        <w:pStyle w:val="Body"/>
      </w:pPr>
      <w:r>
        <w:t>In some cases, your organisation, or part of your organisation, may have completed a GEAP prior to this change.</w:t>
      </w:r>
    </w:p>
    <w:p w14:paraId="5388191D" w14:textId="36B69045" w:rsidR="0067124C" w:rsidRDefault="0067124C" w:rsidP="0067124C">
      <w:pPr>
        <w:pStyle w:val="Body"/>
      </w:pPr>
      <w:r>
        <w:t>After notifying the Commissioner of your significant organisational change, your organisation would have received a letter from the Commissioner informing you about whether you are required to submit a progress report.</w:t>
      </w:r>
    </w:p>
    <w:p w14:paraId="2738590F" w14:textId="77777777" w:rsidR="0067124C" w:rsidRDefault="0067124C" w:rsidP="00F538C8">
      <w:pPr>
        <w:pStyle w:val="Body"/>
      </w:pPr>
      <w:r>
        <w:t xml:space="preserve">If you are unsure whether your new organisation is required to submit a progress report, </w:t>
      </w:r>
      <w:r w:rsidRPr="00F538C8">
        <w:t xml:space="preserve">please contact the Commissioner’s team at </w:t>
      </w:r>
      <w:hyperlink r:id="rId44">
        <w:r w:rsidRPr="432E1C71">
          <w:rPr>
            <w:rStyle w:val="Hyperlink"/>
          </w:rPr>
          <w:t>enquiries@genderequalitycommisison.vic.gov.au</w:t>
        </w:r>
      </w:hyperlink>
      <w:r>
        <w:t>.</w:t>
      </w:r>
    </w:p>
    <w:p w14:paraId="37BD6107" w14:textId="77777777" w:rsidR="0067124C" w:rsidRDefault="0067124C" w:rsidP="00F538C8">
      <w:pPr>
        <w:pStyle w:val="Body"/>
      </w:pPr>
      <w:r>
        <w:t xml:space="preserve">The Commissioner </w:t>
      </w:r>
      <w:r w:rsidRPr="00296F07">
        <w:t>acknowledges</w:t>
      </w:r>
      <w:r>
        <w:t xml:space="preserve"> that structural changes in your organisation may impact the way in which you report on progress. If you are unsure how to complete your progress report considering these changes, please contact the Commissioner’s team at </w:t>
      </w:r>
      <w:hyperlink r:id="rId45">
        <w:r w:rsidRPr="432E1C71">
          <w:rPr>
            <w:rStyle w:val="Hyperlink"/>
          </w:rPr>
          <w:t>enquiries@genderequalitycommisison.vic.gov.au</w:t>
        </w:r>
      </w:hyperlink>
      <w:r>
        <w:t>.</w:t>
      </w:r>
    </w:p>
    <w:p w14:paraId="77401571" w14:textId="77777777" w:rsidR="0067124C" w:rsidRDefault="0067124C" w:rsidP="001B092E">
      <w:pPr>
        <w:pStyle w:val="Body"/>
      </w:pPr>
      <w:r>
        <w:br w:type="page"/>
      </w:r>
    </w:p>
    <w:p w14:paraId="70839053" w14:textId="77777777" w:rsidR="0067124C" w:rsidRDefault="0067124C" w:rsidP="0067124C">
      <w:pPr>
        <w:pStyle w:val="Heading1"/>
      </w:pPr>
      <w:r>
        <w:t>Progress report checklist</w:t>
      </w:r>
    </w:p>
    <w:p w14:paraId="0244BF29" w14:textId="1126B8AC" w:rsidR="0067124C" w:rsidRPr="001F3CCA" w:rsidRDefault="00BB7878" w:rsidP="00F538C8">
      <w:pPr>
        <w:pStyle w:val="Body"/>
      </w:pPr>
      <w:r>
        <w:t>I</w:t>
      </w:r>
      <w:r w:rsidR="0067124C" w:rsidRPr="001F3CCA">
        <w:t xml:space="preserve">nclude the following components </w:t>
      </w:r>
      <w:r w:rsidR="0067124C" w:rsidRPr="00F538C8">
        <w:t>required</w:t>
      </w:r>
      <w:r w:rsidR="0067124C" w:rsidRPr="001F3CCA">
        <w:t xml:space="preserve"> under the </w:t>
      </w:r>
      <w:r w:rsidR="0067124C" w:rsidRPr="001F3CCA">
        <w:rPr>
          <w:i/>
          <w:iCs/>
        </w:rPr>
        <w:t>Gender Equality Act 2020</w:t>
      </w:r>
      <w:r w:rsidR="0067124C" w:rsidRPr="001F3CCA">
        <w:t xml:space="preserve"> and </w:t>
      </w:r>
      <w:r w:rsidR="0067124C" w:rsidRPr="001B092E">
        <w:rPr>
          <w:i/>
        </w:rPr>
        <w:t>Gender Equality Regulations 2020</w:t>
      </w:r>
      <w:r w:rsidRPr="001B092E">
        <w:rPr>
          <w:i/>
        </w:rPr>
        <w:t>.</w:t>
      </w:r>
    </w:p>
    <w:p w14:paraId="465404F2" w14:textId="77777777" w:rsidR="0067124C" w:rsidRDefault="0067124C" w:rsidP="00F538C8">
      <w:pPr>
        <w:pStyle w:val="Heading2"/>
        <w:rPr>
          <w:lang w:eastAsia="en-AU"/>
        </w:rPr>
      </w:pPr>
      <w:r w:rsidRPr="00F538C8">
        <w:t>General</w:t>
      </w:r>
    </w:p>
    <w:p w14:paraId="204E9307" w14:textId="7203B8F7" w:rsidR="0067124C" w:rsidRDefault="00296F07" w:rsidP="00F538C8">
      <w:pPr>
        <w:pStyle w:val="Bullet1"/>
        <w:rPr>
          <w:bCs/>
          <w:lang w:eastAsia="en-AU"/>
        </w:rPr>
      </w:pPr>
      <w:r>
        <w:t>The report uses</w:t>
      </w:r>
      <w:r w:rsidR="0067124C">
        <w:rPr>
          <w:bCs/>
          <w:lang w:eastAsia="en-AU"/>
        </w:rPr>
        <w:t xml:space="preserve"> the </w:t>
      </w:r>
      <w:r w:rsidR="53AA828B" w:rsidRPr="6206FB94">
        <w:rPr>
          <w:lang w:eastAsia="en-AU"/>
        </w:rPr>
        <w:t xml:space="preserve">2026 </w:t>
      </w:r>
      <w:r w:rsidR="0067124C" w:rsidRPr="005F7C93">
        <w:rPr>
          <w:highlight w:val="lightGray"/>
          <w:lang w:eastAsia="en-AU"/>
        </w:rPr>
        <w:t>progress report template</w:t>
      </w:r>
      <w:r>
        <w:rPr>
          <w:lang w:eastAsia="en-AU"/>
        </w:rPr>
        <w:t>.</w:t>
      </w:r>
    </w:p>
    <w:p w14:paraId="016B4897" w14:textId="7271E86E" w:rsidR="0067124C" w:rsidRDefault="00F10659" w:rsidP="00F538C8">
      <w:pPr>
        <w:pStyle w:val="Bullet1"/>
        <w:rPr>
          <w:bCs/>
          <w:lang w:eastAsia="en-AU"/>
        </w:rPr>
      </w:pPr>
      <w:r>
        <w:rPr>
          <w:bCs/>
          <w:lang w:eastAsia="en-AU"/>
        </w:rPr>
        <w:t>Your</w:t>
      </w:r>
      <w:r w:rsidR="0067124C">
        <w:rPr>
          <w:bCs/>
          <w:lang w:eastAsia="en-AU"/>
        </w:rPr>
        <w:t xml:space="preserve"> head of organisation (</w:t>
      </w:r>
      <w:r>
        <w:rPr>
          <w:bCs/>
          <w:lang w:eastAsia="en-AU"/>
        </w:rPr>
        <w:t xml:space="preserve">CEO </w:t>
      </w:r>
      <w:r w:rsidR="0067124C">
        <w:rPr>
          <w:bCs/>
          <w:lang w:eastAsia="en-AU"/>
        </w:rPr>
        <w:t>or equivalent)</w:t>
      </w:r>
      <w:r>
        <w:rPr>
          <w:bCs/>
          <w:lang w:eastAsia="en-AU"/>
        </w:rPr>
        <w:t xml:space="preserve"> has completed the attestation</w:t>
      </w:r>
      <w:r w:rsidR="00296F07">
        <w:rPr>
          <w:bCs/>
          <w:lang w:eastAsia="en-AU"/>
        </w:rPr>
        <w:t>.</w:t>
      </w:r>
    </w:p>
    <w:p w14:paraId="0BCC828E" w14:textId="0679EFD8" w:rsidR="0067124C" w:rsidRPr="005C633D" w:rsidRDefault="00296F07" w:rsidP="00F538C8">
      <w:pPr>
        <w:pStyle w:val="Bullet1"/>
        <w:rPr>
          <w:lang w:eastAsia="en-AU"/>
        </w:rPr>
      </w:pPr>
      <w:r>
        <w:rPr>
          <w:bCs/>
          <w:lang w:eastAsia="en-AU"/>
        </w:rPr>
        <w:t>The report does not contain any p</w:t>
      </w:r>
      <w:r w:rsidR="0067124C">
        <w:rPr>
          <w:bCs/>
          <w:lang w:eastAsia="en-AU"/>
        </w:rPr>
        <w:t>ersonal or potentially identifying information</w:t>
      </w:r>
      <w:r>
        <w:rPr>
          <w:bCs/>
          <w:lang w:eastAsia="en-AU"/>
        </w:rPr>
        <w:t xml:space="preserve">. </w:t>
      </w:r>
    </w:p>
    <w:p w14:paraId="3E6C4D0A" w14:textId="213FB8DF" w:rsidR="0067124C" w:rsidRPr="004A45AC" w:rsidRDefault="0067124C" w:rsidP="00F538C8">
      <w:pPr>
        <w:pStyle w:val="Heading2"/>
        <w:rPr>
          <w:lang w:eastAsia="en-AU"/>
        </w:rPr>
      </w:pPr>
      <w:r>
        <w:rPr>
          <w:lang w:eastAsia="en-AU"/>
        </w:rPr>
        <w:t>For gender impact assessments (GIAs)</w:t>
      </w:r>
    </w:p>
    <w:p w14:paraId="5BD44E46" w14:textId="30735B6B" w:rsidR="0067124C" w:rsidRPr="00895915" w:rsidRDefault="00296F07" w:rsidP="00F538C8">
      <w:pPr>
        <w:pStyle w:val="Bullet1"/>
      </w:pPr>
      <w:r>
        <w:t>You have c</w:t>
      </w:r>
      <w:r w:rsidR="0067124C" w:rsidRPr="00BB7878">
        <w:t>onfirmed whether GIA exemptions apply (or not) and why</w:t>
      </w:r>
      <w:r>
        <w:t>.</w:t>
      </w:r>
    </w:p>
    <w:p w14:paraId="7ACBC4DE" w14:textId="5B289477" w:rsidR="0067124C" w:rsidRPr="00F538C8" w:rsidRDefault="00296F07" w:rsidP="00F538C8">
      <w:pPr>
        <w:pStyle w:val="Bullet1"/>
      </w:pPr>
      <w:bookmarkStart w:id="36" w:name="_Appendix_C"/>
      <w:bookmarkStart w:id="37" w:name="_Hlk188361717"/>
      <w:bookmarkEnd w:id="36"/>
      <w:r>
        <w:t xml:space="preserve">The report </w:t>
      </w:r>
      <w:bookmarkEnd w:id="37"/>
      <w:r>
        <w:t>i</w:t>
      </w:r>
      <w:r w:rsidRPr="00F538C8">
        <w:t>nclude</w:t>
      </w:r>
      <w:r>
        <w:t>s</w:t>
      </w:r>
      <w:r w:rsidRPr="00F538C8">
        <w:t xml:space="preserve"> </w:t>
      </w:r>
      <w:r w:rsidR="0067124C" w:rsidRPr="00F538C8">
        <w:t>details of the policies, programs and services subject to a GIA</w:t>
      </w:r>
      <w:r>
        <w:t>.</w:t>
      </w:r>
    </w:p>
    <w:p w14:paraId="764C78FF" w14:textId="47019D8B" w:rsidR="0067124C" w:rsidRPr="00F538C8" w:rsidRDefault="00296F07" w:rsidP="00F538C8">
      <w:pPr>
        <w:pStyle w:val="Bullet1"/>
      </w:pPr>
      <w:r>
        <w:t xml:space="preserve">The report includes </w:t>
      </w:r>
      <w:r w:rsidR="0067124C" w:rsidRPr="00F538C8">
        <w:t>only GIAs that were completed:</w:t>
      </w:r>
    </w:p>
    <w:p w14:paraId="6ECAD4AE" w14:textId="2405B158" w:rsidR="0067124C" w:rsidRPr="00F538C8" w:rsidRDefault="0067124C" w:rsidP="00F538C8">
      <w:pPr>
        <w:pStyle w:val="Bullet2"/>
      </w:pPr>
      <w:r w:rsidRPr="00F538C8">
        <w:t>during the reporting period</w:t>
      </w:r>
      <w:r w:rsidR="00BB7878">
        <w:t xml:space="preserve"> </w:t>
      </w:r>
      <w:r w:rsidR="00BB7878">
        <w:rPr>
          <w:b/>
          <w:bCs/>
        </w:rPr>
        <w:t>and</w:t>
      </w:r>
    </w:p>
    <w:p w14:paraId="764E15C3" w14:textId="57D4E625" w:rsidR="0067124C" w:rsidRPr="00F538C8" w:rsidRDefault="0067124C" w:rsidP="00F538C8">
      <w:pPr>
        <w:pStyle w:val="Bullet2"/>
      </w:pPr>
      <w:r w:rsidRPr="00F538C8">
        <w:t>on policies, programs or services that have a direct and significant impact on the public</w:t>
      </w:r>
      <w:r w:rsidR="00296F07">
        <w:t>.</w:t>
      </w:r>
    </w:p>
    <w:p w14:paraId="2CA5D21A" w14:textId="18B9E4BB" w:rsidR="0067124C" w:rsidRDefault="00296F07" w:rsidP="00F538C8">
      <w:pPr>
        <w:pStyle w:val="Bullet1"/>
        <w:rPr>
          <w:lang w:eastAsia="en-AU"/>
        </w:rPr>
      </w:pPr>
      <w:r>
        <w:rPr>
          <w:lang w:eastAsia="en-AU"/>
        </w:rPr>
        <w:t>You have d</w:t>
      </w:r>
      <w:r w:rsidR="0067124C">
        <w:rPr>
          <w:lang w:eastAsia="en-AU"/>
        </w:rPr>
        <w:t xml:space="preserve">escribed actions taken </w:t>
      </w:r>
      <w:proofErr w:type="gramStart"/>
      <w:r w:rsidR="0067124C">
        <w:rPr>
          <w:lang w:eastAsia="en-AU"/>
        </w:rPr>
        <w:t>as a result of</w:t>
      </w:r>
      <w:proofErr w:type="gramEnd"/>
      <w:r w:rsidR="0067124C">
        <w:rPr>
          <w:lang w:eastAsia="en-AU"/>
        </w:rPr>
        <w:t xml:space="preserve"> each GIA in relation to how </w:t>
      </w:r>
      <w:r w:rsidR="008B66E1">
        <w:rPr>
          <w:lang w:eastAsia="en-AU"/>
        </w:rPr>
        <w:t>they</w:t>
      </w:r>
      <w:r w:rsidR="0067124C">
        <w:rPr>
          <w:lang w:eastAsia="en-AU"/>
        </w:rPr>
        <w:t>:</w:t>
      </w:r>
    </w:p>
    <w:p w14:paraId="7079F773" w14:textId="48B11ACA" w:rsidR="0067124C" w:rsidRPr="00BA4934" w:rsidRDefault="00BB7878" w:rsidP="00F538C8">
      <w:pPr>
        <w:pStyle w:val="Bullet2"/>
      </w:pPr>
      <w:r>
        <w:t>m</w:t>
      </w:r>
      <w:r w:rsidRPr="00BA4934">
        <w:t xml:space="preserve">et </w:t>
      </w:r>
      <w:r w:rsidR="0067124C" w:rsidRPr="00BA4934">
        <w:t>the needs of people of different genders</w:t>
      </w:r>
    </w:p>
    <w:p w14:paraId="1216E5F9" w14:textId="0424F5DE" w:rsidR="0067124C" w:rsidRPr="00BA4934" w:rsidRDefault="00BB7878" w:rsidP="00F538C8">
      <w:pPr>
        <w:pStyle w:val="Bullet2"/>
      </w:pPr>
      <w:r>
        <w:t>p</w:t>
      </w:r>
      <w:r w:rsidRPr="00BA4934">
        <w:t>romote</w:t>
      </w:r>
      <w:r>
        <w:t>d</w:t>
      </w:r>
      <w:r w:rsidRPr="00BA4934">
        <w:t xml:space="preserve"> </w:t>
      </w:r>
      <w:r w:rsidR="0067124C" w:rsidRPr="00BA4934">
        <w:t>gender equality</w:t>
      </w:r>
      <w:r>
        <w:t xml:space="preserve"> </w:t>
      </w:r>
    </w:p>
    <w:p w14:paraId="13814A37" w14:textId="53DF4B79" w:rsidR="0067124C" w:rsidRDefault="00BB7878" w:rsidP="00F538C8">
      <w:pPr>
        <w:pStyle w:val="Bullet2"/>
      </w:pPr>
      <w:r>
        <w:t>a</w:t>
      </w:r>
      <w:r w:rsidRPr="00BA4934">
        <w:t>ddress</w:t>
      </w:r>
      <w:r>
        <w:t>ed</w:t>
      </w:r>
      <w:r w:rsidRPr="00BA4934">
        <w:t xml:space="preserve"> </w:t>
      </w:r>
      <w:r w:rsidR="0067124C" w:rsidRPr="00BA4934">
        <w:t>gender inequality</w:t>
      </w:r>
      <w:r w:rsidR="00296F07">
        <w:t>.</w:t>
      </w:r>
    </w:p>
    <w:p w14:paraId="6208E1C4" w14:textId="38BF17CC" w:rsidR="0067124C" w:rsidRPr="00895915" w:rsidRDefault="0067124C" w:rsidP="00F538C8">
      <w:pPr>
        <w:pStyle w:val="Bullet1"/>
      </w:pPr>
      <w:r w:rsidRPr="00F538C8">
        <w:t>If no actions were taken, explained why?</w:t>
      </w:r>
    </w:p>
    <w:p w14:paraId="09CA087A" w14:textId="35EDD16B" w:rsidR="0067124C" w:rsidRPr="00BB7878" w:rsidRDefault="00296F07" w:rsidP="00F538C8">
      <w:pPr>
        <w:pStyle w:val="Bullet1"/>
      </w:pPr>
      <w:r>
        <w:t>The report e</w:t>
      </w:r>
      <w:r w:rsidR="0067124C" w:rsidRPr="00F538C8">
        <w:t>xplain</w:t>
      </w:r>
      <w:r>
        <w:t>s</w:t>
      </w:r>
      <w:r w:rsidR="0067124C" w:rsidRPr="00F538C8">
        <w:t xml:space="preserve"> how intersectionality was considered</w:t>
      </w:r>
      <w:r>
        <w:t>,</w:t>
      </w:r>
      <w:r w:rsidR="0067124C" w:rsidRPr="00F538C8">
        <w:t xml:space="preserve"> or </w:t>
      </w:r>
      <w:r>
        <w:t>why it was not.</w:t>
      </w:r>
    </w:p>
    <w:p w14:paraId="60EB9B9D" w14:textId="4D9204EB" w:rsidR="0067124C" w:rsidRPr="00F538C8" w:rsidRDefault="0067124C" w:rsidP="00F538C8">
      <w:pPr>
        <w:pStyle w:val="Heading2"/>
      </w:pPr>
      <w:r>
        <w:rPr>
          <w:lang w:eastAsia="en-AU"/>
        </w:rPr>
        <w:t xml:space="preserve">For workplace gender </w:t>
      </w:r>
      <w:r w:rsidRPr="00F538C8">
        <w:t>equality</w:t>
      </w:r>
      <w:r>
        <w:rPr>
          <w:lang w:eastAsia="en-AU"/>
        </w:rPr>
        <w:t xml:space="preserve"> indicators (indicators)</w:t>
      </w:r>
    </w:p>
    <w:p w14:paraId="49BDB3B2" w14:textId="2C9D531E" w:rsidR="0067124C" w:rsidRDefault="00296F07" w:rsidP="00F538C8">
      <w:pPr>
        <w:pStyle w:val="Bullet1"/>
        <w:rPr>
          <w:lang w:eastAsia="en-AU"/>
        </w:rPr>
      </w:pPr>
      <w:r>
        <w:rPr>
          <w:lang w:eastAsia="en-AU"/>
        </w:rPr>
        <w:t xml:space="preserve">The report includes </w:t>
      </w:r>
      <w:r w:rsidR="0067124C">
        <w:rPr>
          <w:lang w:eastAsia="en-AU"/>
        </w:rPr>
        <w:t xml:space="preserve">progress data for all indicators, </w:t>
      </w:r>
      <w:r>
        <w:rPr>
          <w:lang w:eastAsia="en-AU"/>
        </w:rPr>
        <w:t>including</w:t>
      </w:r>
      <w:r w:rsidR="0067124C">
        <w:rPr>
          <w:lang w:eastAsia="en-AU"/>
        </w:rPr>
        <w:t>:</w:t>
      </w:r>
    </w:p>
    <w:p w14:paraId="0DA38F74" w14:textId="2A8A6956" w:rsidR="0067124C" w:rsidRPr="00F538C8" w:rsidRDefault="00296F07" w:rsidP="00F538C8">
      <w:pPr>
        <w:pStyle w:val="Bullet2"/>
      </w:pPr>
      <w:r>
        <w:t>a</w:t>
      </w:r>
      <w:r w:rsidRPr="00F538C8">
        <w:t xml:space="preserve">t </w:t>
      </w:r>
      <w:r w:rsidR="0067124C" w:rsidRPr="00F538C8">
        <w:t>least one data point in relation to each indicator (ideally using the Commissioner’s measures as a minimum)</w:t>
      </w:r>
      <w:r w:rsidR="00BB7878">
        <w:t xml:space="preserve"> </w:t>
      </w:r>
      <w:r w:rsidR="00BB7878">
        <w:rPr>
          <w:b/>
          <w:bCs/>
        </w:rPr>
        <w:t>and</w:t>
      </w:r>
    </w:p>
    <w:p w14:paraId="56C31C2C" w14:textId="2FA6B3F6" w:rsidR="0067124C" w:rsidRPr="00F538C8" w:rsidRDefault="0067124C" w:rsidP="00F538C8">
      <w:pPr>
        <w:pStyle w:val="Bullet2"/>
      </w:pPr>
      <w:r w:rsidRPr="00F538C8">
        <w:t>comparative workplace audit data from 2023 and 2025</w:t>
      </w:r>
      <w:r w:rsidR="00296F07">
        <w:t>.</w:t>
      </w:r>
    </w:p>
    <w:p w14:paraId="161CA552" w14:textId="7EE07E10" w:rsidR="0067124C" w:rsidRPr="00F538C8" w:rsidRDefault="00296F07" w:rsidP="00F538C8">
      <w:pPr>
        <w:pStyle w:val="Bullet1"/>
      </w:pPr>
      <w:r>
        <w:t xml:space="preserve">The report explains </w:t>
      </w:r>
      <w:r w:rsidR="0067124C" w:rsidRPr="00F538C8">
        <w:t>whether progress has been made for all indicators</w:t>
      </w:r>
      <w:r>
        <w:t>.</w:t>
      </w:r>
    </w:p>
    <w:p w14:paraId="63FEEC64" w14:textId="70520AFC" w:rsidR="0067124C" w:rsidRPr="00F538C8" w:rsidRDefault="00296F07" w:rsidP="00F538C8">
      <w:pPr>
        <w:pStyle w:val="Bullet1"/>
      </w:pPr>
      <w:r>
        <w:t>The report i</w:t>
      </w:r>
      <w:r w:rsidRPr="00F538C8">
        <w:t>dentifie</w:t>
      </w:r>
      <w:r>
        <w:t>s</w:t>
      </w:r>
      <w:r w:rsidRPr="00F538C8">
        <w:t xml:space="preserve"> </w:t>
      </w:r>
      <w:r w:rsidR="0067124C" w:rsidRPr="00F538C8">
        <w:t xml:space="preserve">and </w:t>
      </w:r>
      <w:r w:rsidRPr="00F538C8">
        <w:t>explain</w:t>
      </w:r>
      <w:r>
        <w:t>s</w:t>
      </w:r>
      <w:r w:rsidRPr="00F538C8">
        <w:t xml:space="preserve"> </w:t>
      </w:r>
      <w:r w:rsidR="0067124C" w:rsidRPr="00F538C8">
        <w:t>any factors limiting progress</w:t>
      </w:r>
      <w:r>
        <w:t>.</w:t>
      </w:r>
    </w:p>
    <w:p w14:paraId="62C17CFF" w14:textId="0A59BF5E" w:rsidR="0067124C" w:rsidRDefault="0067124C" w:rsidP="00F538C8">
      <w:pPr>
        <w:pStyle w:val="Heading2"/>
        <w:rPr>
          <w:lang w:eastAsia="en-AU"/>
        </w:rPr>
      </w:pPr>
      <w:r>
        <w:rPr>
          <w:lang w:eastAsia="en-AU"/>
        </w:rPr>
        <w:t>For GEAP strategie</w:t>
      </w:r>
      <w:r w:rsidR="00296F07">
        <w:rPr>
          <w:lang w:eastAsia="en-AU"/>
        </w:rPr>
        <w:t>s</w:t>
      </w:r>
    </w:p>
    <w:p w14:paraId="33E52DDC" w14:textId="0929ABAB" w:rsidR="0067124C" w:rsidRDefault="0067124C" w:rsidP="00F538C8">
      <w:pPr>
        <w:pStyle w:val="Bullet1"/>
        <w:rPr>
          <w:lang w:eastAsia="en-AU"/>
        </w:rPr>
      </w:pPr>
      <w:r>
        <w:rPr>
          <w:lang w:eastAsia="en-AU"/>
        </w:rPr>
        <w:t xml:space="preserve">GEAP strategies </w:t>
      </w:r>
      <w:r w:rsidR="00296F07">
        <w:rPr>
          <w:lang w:eastAsia="en-AU"/>
        </w:rPr>
        <w:t xml:space="preserve">are listed </w:t>
      </w:r>
      <w:r>
        <w:rPr>
          <w:lang w:eastAsia="en-AU"/>
        </w:rPr>
        <w:t>against relevant indicators</w:t>
      </w:r>
      <w:r w:rsidR="00296F07">
        <w:rPr>
          <w:lang w:eastAsia="en-AU"/>
        </w:rPr>
        <w:t>.</w:t>
      </w:r>
    </w:p>
    <w:p w14:paraId="6040A020" w14:textId="284FB370" w:rsidR="00A964EC" w:rsidRPr="00A964EC" w:rsidRDefault="00296F07" w:rsidP="00F538C8">
      <w:pPr>
        <w:pStyle w:val="Bullet1"/>
        <w:rPr>
          <w:rFonts w:cstheme="minorHAnsi"/>
        </w:rPr>
      </w:pPr>
      <w:r>
        <w:rPr>
          <w:lang w:eastAsia="en-AU"/>
        </w:rPr>
        <w:t>The report e</w:t>
      </w:r>
      <w:r w:rsidR="0067124C">
        <w:rPr>
          <w:lang w:eastAsia="en-AU"/>
        </w:rPr>
        <w:t>xplain</w:t>
      </w:r>
      <w:r>
        <w:rPr>
          <w:lang w:eastAsia="en-AU"/>
        </w:rPr>
        <w:t>s</w:t>
      </w:r>
      <w:r w:rsidR="0067124C">
        <w:rPr>
          <w:lang w:eastAsia="en-AU"/>
        </w:rPr>
        <w:t xml:space="preserve"> any incomplete GEAP strategies and wh</w:t>
      </w:r>
      <w:r>
        <w:rPr>
          <w:lang w:eastAsia="en-AU"/>
        </w:rPr>
        <w:t>y.</w:t>
      </w:r>
    </w:p>
    <w:sectPr w:rsidR="00A964EC" w:rsidRPr="00A964EC" w:rsidSect="005E37AA">
      <w:headerReference w:type="even" r:id="rId46"/>
      <w:headerReference w:type="default" r:id="rId47"/>
      <w:footerReference w:type="default" r:id="rId48"/>
      <w:pgSz w:w="11906" w:h="16838"/>
      <w:pgMar w:top="1531"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e Farhall (CGEPS)" w:date="2025-02-18T11:47:00Z" w:initials="KF">
    <w:p w14:paraId="4BC1B467" w14:textId="77777777" w:rsidR="002E65B0" w:rsidRDefault="002E65B0" w:rsidP="002E65B0">
      <w:pPr>
        <w:pStyle w:val="CommentText"/>
      </w:pPr>
      <w:r>
        <w:rPr>
          <w:rStyle w:val="CommentReference"/>
        </w:rPr>
        <w:annotationRef/>
      </w:r>
      <w:r>
        <w:t>Please note that text highlighted in grey indicates where text will be hyperlinked to a relevant page, either within this guidance, the Commissioner's website or to further guides (not included here).</w:t>
      </w:r>
    </w:p>
  </w:comment>
  <w:comment w:id="7" w:author="Kate Farhall (CGEPS)" w:date="2025-01-21T11:29:00Z" w:initials="KF">
    <w:p w14:paraId="4A360AE6" w14:textId="37CD8784" w:rsidR="004B171C" w:rsidRDefault="0067124C" w:rsidP="004B171C">
      <w:pPr>
        <w:pStyle w:val="CommentText"/>
      </w:pPr>
      <w:r>
        <w:rPr>
          <w:rStyle w:val="CommentReference"/>
        </w:rPr>
        <w:annotationRef/>
      </w:r>
      <w:r w:rsidR="004B171C">
        <w:t>Confirm appropriate cross-link once uploaded.</w:t>
      </w:r>
    </w:p>
  </w:comment>
  <w:comment w:id="13" w:author="Kate Farhall (CGEPS)" w:date="2025-02-18T11:38:00Z" w:initials="KF">
    <w:p w14:paraId="33A9E4A0" w14:textId="77777777" w:rsidR="001F7492" w:rsidRDefault="00D915A3" w:rsidP="001F7492">
      <w:pPr>
        <w:pStyle w:val="CommentText"/>
      </w:pPr>
      <w:r>
        <w:rPr>
          <w:rStyle w:val="CommentReference"/>
        </w:rPr>
        <w:annotationRef/>
      </w:r>
      <w:r w:rsidR="001F7492">
        <w:t>Please note that the Commissioner will be recommending minimum data for duty holders to include in their progress reports to demonstrate progress against the indicators. These are currently being finalised and will be published along with the guidance in May. They will also be included in the template under 2.1, column B.</w:t>
      </w:r>
    </w:p>
  </w:comment>
  <w:comment w:id="17" w:author="Kathryn Smith (CGEPS)" w:date="2025-01-16T12:06:00Z" w:initials="KS(">
    <w:p w14:paraId="7FE0BF72" w14:textId="33BBFEAC" w:rsidR="0067124C" w:rsidRDefault="0067124C" w:rsidP="0067124C">
      <w:pPr>
        <w:pStyle w:val="CommentText"/>
      </w:pPr>
      <w:r>
        <w:rPr>
          <w:rStyle w:val="CommentReference"/>
        </w:rPr>
        <w:annotationRef/>
      </w:r>
      <w:r>
        <w:t>All link to relevant section of GEAP guide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C1B467" w15:done="0"/>
  <w15:commentEx w15:paraId="4A360AE6" w15:done="0"/>
  <w15:commentEx w15:paraId="33A9E4A0" w15:done="0"/>
  <w15:commentEx w15:paraId="7FE0BF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364CB3" w16cex:dateUtc="2025-02-18T00:47:00Z"/>
  <w16cex:commentExtensible w16cex:durableId="05DB2BEC" w16cex:dateUtc="2025-01-21T00:29:00Z"/>
  <w16cex:commentExtensible w16cex:durableId="30E1CCAA" w16cex:dateUtc="2025-02-18T00:38:00Z"/>
  <w16cex:commentExtensible w16cex:durableId="2B3374E1" w16cex:dateUtc="2025-01-16T0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C1B467" w16cid:durableId="5E364CB3"/>
  <w16cid:commentId w16cid:paraId="4A360AE6" w16cid:durableId="05DB2BEC"/>
  <w16cid:commentId w16cid:paraId="33A9E4A0" w16cid:durableId="30E1CCAA"/>
  <w16cid:commentId w16cid:paraId="7FE0BF72" w16cid:durableId="2B3374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CBC72" w14:textId="77777777" w:rsidR="00FE5584" w:rsidRDefault="00FE5584" w:rsidP="003C3DA1">
      <w:pPr>
        <w:spacing w:after="0" w:line="240" w:lineRule="auto"/>
      </w:pPr>
      <w:r>
        <w:separator/>
      </w:r>
    </w:p>
  </w:endnote>
  <w:endnote w:type="continuationSeparator" w:id="0">
    <w:p w14:paraId="3C512CD8" w14:textId="77777777" w:rsidR="00FE5584" w:rsidRDefault="00FE5584" w:rsidP="003C3DA1">
      <w:pPr>
        <w:spacing w:after="0" w:line="240" w:lineRule="auto"/>
      </w:pPr>
      <w:r>
        <w:continuationSeparator/>
      </w:r>
    </w:p>
  </w:endnote>
  <w:endnote w:type="continuationNotice" w:id="1">
    <w:p w14:paraId="4C1962E0" w14:textId="77777777" w:rsidR="00FE5584" w:rsidRDefault="00FE5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altName w:val="Calibri"/>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IC Medium">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99075" w14:textId="77777777" w:rsidR="004316A9" w:rsidRPr="00A964EC" w:rsidRDefault="00A964EC" w:rsidP="00A964EC">
    <w:pPr>
      <w:pStyle w:val="Footer"/>
      <w:jc w:val="center"/>
      <w:rPr>
        <w:rFonts w:ascii="VIC Medium" w:hAnsi="VIC Medium"/>
      </w:rPr>
    </w:pPr>
    <w:r w:rsidRPr="00A964EC">
      <w:rPr>
        <w:rFonts w:ascii="VIC Medium" w:hAnsi="VIC Medium"/>
        <w:noProof/>
      </w:rPr>
      <w:drawing>
        <wp:anchor distT="0" distB="0" distL="114300" distR="114300" simplePos="0" relativeHeight="251658241" behindDoc="0" locked="0" layoutInCell="1" allowOverlap="1" wp14:anchorId="506B1570" wp14:editId="37224567">
          <wp:simplePos x="0" y="0"/>
          <wp:positionH relativeFrom="column">
            <wp:posOffset>5485307</wp:posOffset>
          </wp:positionH>
          <wp:positionV relativeFrom="paragraph">
            <wp:posOffset>-154453</wp:posOffset>
          </wp:positionV>
          <wp:extent cx="792480" cy="453390"/>
          <wp:effectExtent l="0" t="0" r="7620" b="3810"/>
          <wp:wrapNone/>
          <wp:docPr id="10" name="Picture 10">
            <a:extLst xmlns:a="http://schemas.openxmlformats.org/drawingml/2006/main">
              <a:ext uri="{FF2B5EF4-FFF2-40B4-BE49-F238E27FC236}">
                <a16:creationId xmlns:a16="http://schemas.microsoft.com/office/drawing/2014/main" id="{062AE031-A7B9-44AA-9D02-D85723C90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62AE031-A7B9-44AA-9D02-D85723C900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2480" cy="453390"/>
                  </a:xfrm>
                  <a:prstGeom prst="rect">
                    <a:avLst/>
                  </a:prstGeom>
                </pic:spPr>
              </pic:pic>
            </a:graphicData>
          </a:graphic>
        </wp:anchor>
      </w:drawing>
    </w:r>
    <w:r w:rsidRPr="00A964EC">
      <w:rPr>
        <w:rFonts w:ascii="VIC Medium" w:hAnsi="VIC Medium"/>
        <w:noProof/>
      </w:rPr>
      <w:drawing>
        <wp:anchor distT="0" distB="0" distL="114300" distR="114300" simplePos="0" relativeHeight="251658242" behindDoc="0" locked="0" layoutInCell="1" allowOverlap="1" wp14:anchorId="38CD407C" wp14:editId="352F9423">
          <wp:simplePos x="0" y="0"/>
          <wp:positionH relativeFrom="column">
            <wp:posOffset>-563894</wp:posOffset>
          </wp:positionH>
          <wp:positionV relativeFrom="paragraph">
            <wp:posOffset>-80143</wp:posOffset>
          </wp:positionV>
          <wp:extent cx="2073275" cy="359410"/>
          <wp:effectExtent l="0" t="0" r="3175" b="2540"/>
          <wp:wrapNone/>
          <wp:docPr id="12" name="Picture 12" descr="Text&#10;&#10;Description automatically generated">
            <a:extLst xmlns:a="http://schemas.openxmlformats.org/drawingml/2006/main">
              <a:ext uri="{FF2B5EF4-FFF2-40B4-BE49-F238E27FC236}">
                <a16:creationId xmlns:a16="http://schemas.microsoft.com/office/drawing/2014/main" id="{2A3339B6-50FA-4BC5-9E25-2FDAAF813A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Text&#10;&#10;Description automatically generated">
                    <a:extLst>
                      <a:ext uri="{FF2B5EF4-FFF2-40B4-BE49-F238E27FC236}">
                        <a16:creationId xmlns:a16="http://schemas.microsoft.com/office/drawing/2014/main" id="{2A3339B6-50FA-4BC5-9E25-2FDAAF813AB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73275" cy="359410"/>
                  </a:xfrm>
                  <a:prstGeom prst="rect">
                    <a:avLst/>
                  </a:prstGeom>
                </pic:spPr>
              </pic:pic>
            </a:graphicData>
          </a:graphic>
        </wp:anchor>
      </w:drawing>
    </w:r>
    <w:r w:rsidR="004316A9" w:rsidRPr="00A964EC">
      <w:rPr>
        <w:rFonts w:ascii="VIC Medium" w:hAnsi="VIC Medium"/>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CFD66" w14:textId="77777777" w:rsidR="00FE5584" w:rsidRDefault="00FE5584" w:rsidP="003C3DA1">
      <w:pPr>
        <w:spacing w:after="0" w:line="240" w:lineRule="auto"/>
      </w:pPr>
      <w:r>
        <w:separator/>
      </w:r>
    </w:p>
  </w:footnote>
  <w:footnote w:type="continuationSeparator" w:id="0">
    <w:p w14:paraId="632740D8" w14:textId="77777777" w:rsidR="00FE5584" w:rsidRDefault="00FE5584" w:rsidP="003C3DA1">
      <w:pPr>
        <w:spacing w:after="0" w:line="240" w:lineRule="auto"/>
      </w:pPr>
      <w:r>
        <w:continuationSeparator/>
      </w:r>
    </w:p>
  </w:footnote>
  <w:footnote w:type="continuationNotice" w:id="1">
    <w:p w14:paraId="46A4CC53" w14:textId="77777777" w:rsidR="00FE5584" w:rsidRDefault="00FE5584">
      <w:pPr>
        <w:spacing w:after="0" w:line="240" w:lineRule="auto"/>
      </w:pPr>
    </w:p>
  </w:footnote>
  <w:footnote w:id="2">
    <w:p w14:paraId="1BB9C5A6" w14:textId="7AF33323" w:rsidR="009759D2" w:rsidRDefault="009759D2">
      <w:pPr>
        <w:pStyle w:val="FootnoteText"/>
      </w:pPr>
      <w:r>
        <w:rPr>
          <w:rStyle w:val="FootnoteReference"/>
        </w:rPr>
        <w:footnoteRef/>
      </w:r>
      <w:r>
        <w:t xml:space="preserve"> &lt;</w:t>
      </w:r>
      <w:r w:rsidRPr="009759D2">
        <w:t>https://www.genderequalitycommission.vic.gov.au/progress-reporting-2023</w:t>
      </w:r>
      <w:r>
        <w:t>&gt;</w:t>
      </w:r>
    </w:p>
  </w:footnote>
  <w:footnote w:id="3">
    <w:p w14:paraId="542EBF46" w14:textId="77777777" w:rsidR="0067124C" w:rsidRPr="000D4763" w:rsidRDefault="0067124C" w:rsidP="000D4763">
      <w:pPr>
        <w:rPr>
          <w:rStyle w:val="FootnoteTextChar"/>
          <w:szCs w:val="18"/>
        </w:rPr>
      </w:pPr>
      <w:r w:rsidRPr="000D4763">
        <w:rPr>
          <w:rStyle w:val="FootnoteReference"/>
          <w:rFonts w:ascii="Arial" w:hAnsi="Arial" w:cs="Arial"/>
          <w:sz w:val="18"/>
          <w:szCs w:val="18"/>
        </w:rPr>
        <w:footnoteRef/>
      </w:r>
      <w:r w:rsidRPr="000D4763">
        <w:rPr>
          <w:rFonts w:ascii="Arial" w:hAnsi="Arial" w:cs="Arial"/>
          <w:sz w:val="18"/>
          <w:szCs w:val="18"/>
        </w:rPr>
        <w:t xml:space="preserve"> </w:t>
      </w:r>
      <w:r w:rsidRPr="000D4763">
        <w:rPr>
          <w:rStyle w:val="FootnoteTextChar"/>
          <w:szCs w:val="18"/>
        </w:rPr>
        <w:t>As outlined in section 19 of the Act.</w:t>
      </w:r>
    </w:p>
  </w:footnote>
  <w:footnote w:id="4">
    <w:p w14:paraId="1FC52FC1" w14:textId="3DCDCBD7" w:rsidR="0067124C" w:rsidRPr="009368EB" w:rsidRDefault="0067124C" w:rsidP="000D4763">
      <w:pPr>
        <w:rPr>
          <w:rFonts w:cs="VIC"/>
        </w:rPr>
      </w:pPr>
      <w:r w:rsidRPr="000D4763">
        <w:rPr>
          <w:rStyle w:val="FootnoteReference"/>
          <w:rFonts w:ascii="Arial" w:hAnsi="Arial" w:cs="Arial"/>
          <w:sz w:val="18"/>
          <w:szCs w:val="18"/>
        </w:rPr>
        <w:footnoteRef/>
      </w:r>
      <w:r w:rsidRPr="000D4763">
        <w:rPr>
          <w:rFonts w:ascii="Arial" w:hAnsi="Arial" w:cs="Arial"/>
          <w:sz w:val="18"/>
          <w:szCs w:val="18"/>
        </w:rPr>
        <w:t xml:space="preserve"> </w:t>
      </w:r>
      <w:r w:rsidRPr="00F538C8">
        <w:rPr>
          <w:rStyle w:val="FootnoteTextChar"/>
          <w:szCs w:val="18"/>
        </w:rPr>
        <w:t>When developing your progress report, duty holders must have regard to legal obligations they may have under Commonwealth and State legislation and industrial instruments, including but not limited to:</w:t>
      </w:r>
      <w:r w:rsidRPr="000D4763">
        <w:rPr>
          <w:rFonts w:ascii="Arial" w:hAnsi="Arial" w:cs="Arial"/>
          <w:sz w:val="18"/>
          <w:szCs w:val="18"/>
        </w:rPr>
        <w:t xml:space="preserve"> </w:t>
      </w:r>
      <w:r w:rsidR="00C347CB" w:rsidRPr="000D4763">
        <w:rPr>
          <w:rFonts w:ascii="Arial" w:hAnsi="Arial" w:cs="Arial"/>
          <w:sz w:val="18"/>
          <w:szCs w:val="18"/>
        </w:rPr>
        <w:t xml:space="preserve">the </w:t>
      </w:r>
      <w:hyperlink r:id="rId1">
        <w:r w:rsidRPr="000D4763">
          <w:rPr>
            <w:rStyle w:val="Hyperlink"/>
            <w:rFonts w:ascii="Arial" w:hAnsi="Arial" w:cs="Arial"/>
            <w:i/>
            <w:sz w:val="18"/>
            <w:szCs w:val="18"/>
          </w:rPr>
          <w:t>Fair Work Act 2009</w:t>
        </w:r>
      </w:hyperlink>
      <w:r w:rsidRPr="000D4763">
        <w:rPr>
          <w:rFonts w:ascii="Arial" w:hAnsi="Arial" w:cs="Arial"/>
          <w:sz w:val="18"/>
          <w:szCs w:val="18"/>
        </w:rPr>
        <w:t xml:space="preserve"> (</w:t>
      </w:r>
      <w:proofErr w:type="spellStart"/>
      <w:r w:rsidRPr="000D4763">
        <w:rPr>
          <w:rFonts w:ascii="Arial" w:hAnsi="Arial" w:cs="Arial"/>
          <w:sz w:val="18"/>
          <w:szCs w:val="18"/>
        </w:rPr>
        <w:t>Cth</w:t>
      </w:r>
      <w:proofErr w:type="spellEnd"/>
      <w:r w:rsidRPr="000D4763">
        <w:rPr>
          <w:rFonts w:ascii="Arial" w:hAnsi="Arial" w:cs="Arial"/>
          <w:sz w:val="18"/>
          <w:szCs w:val="18"/>
        </w:rPr>
        <w:t>) and other Commonwealth workplace relations legislation</w:t>
      </w:r>
      <w:r w:rsidR="00C95018" w:rsidRPr="000D4763">
        <w:rPr>
          <w:rFonts w:ascii="Arial" w:hAnsi="Arial" w:cs="Arial"/>
          <w:sz w:val="18"/>
          <w:szCs w:val="18"/>
        </w:rPr>
        <w:t xml:space="preserve">; </w:t>
      </w:r>
      <w:r w:rsidR="00C347CB" w:rsidRPr="000D4763">
        <w:rPr>
          <w:rFonts w:ascii="Arial" w:hAnsi="Arial" w:cs="Arial"/>
          <w:sz w:val="18"/>
          <w:szCs w:val="18"/>
        </w:rPr>
        <w:t>the</w:t>
      </w:r>
      <w:r w:rsidRPr="000D4763">
        <w:rPr>
          <w:rFonts w:ascii="Arial" w:hAnsi="Arial" w:cs="Arial"/>
          <w:sz w:val="18"/>
          <w:szCs w:val="18"/>
        </w:rPr>
        <w:t xml:space="preserve"> </w:t>
      </w:r>
      <w:hyperlink r:id="rId2">
        <w:r w:rsidRPr="000D4763">
          <w:rPr>
            <w:rStyle w:val="Hyperlink"/>
            <w:rFonts w:ascii="Arial" w:hAnsi="Arial" w:cs="Arial"/>
            <w:i/>
            <w:sz w:val="18"/>
            <w:szCs w:val="18"/>
          </w:rPr>
          <w:t>Equal Opportunity Act 2010</w:t>
        </w:r>
      </w:hyperlink>
      <w:r w:rsidRPr="000D4763">
        <w:rPr>
          <w:rFonts w:ascii="Arial" w:hAnsi="Arial" w:cs="Arial"/>
          <w:sz w:val="18"/>
          <w:szCs w:val="18"/>
        </w:rPr>
        <w:t xml:space="preserve"> (Vic) and the </w:t>
      </w:r>
      <w:hyperlink r:id="rId3">
        <w:r w:rsidRPr="000D4763">
          <w:rPr>
            <w:rStyle w:val="Hyperlink"/>
            <w:rFonts w:ascii="Arial" w:hAnsi="Arial" w:cs="Arial"/>
            <w:i/>
            <w:sz w:val="18"/>
            <w:szCs w:val="18"/>
          </w:rPr>
          <w:t>Charter of Human Rights and Responsibilities Act 2006</w:t>
        </w:r>
      </w:hyperlink>
      <w:r w:rsidRPr="000D4763">
        <w:rPr>
          <w:rFonts w:ascii="Arial" w:hAnsi="Arial" w:cs="Arial"/>
          <w:sz w:val="18"/>
          <w:szCs w:val="18"/>
        </w:rPr>
        <w:t xml:space="preserve"> (Vic)</w:t>
      </w:r>
      <w:r w:rsidR="00C95018" w:rsidRPr="000D4763">
        <w:rPr>
          <w:rFonts w:ascii="Arial" w:hAnsi="Arial" w:cs="Arial"/>
          <w:sz w:val="18"/>
          <w:szCs w:val="18"/>
        </w:rPr>
        <w:t xml:space="preserve">; </w:t>
      </w:r>
      <w:r w:rsidR="00C347CB" w:rsidRPr="000D4763">
        <w:rPr>
          <w:rFonts w:ascii="Arial" w:hAnsi="Arial" w:cs="Arial"/>
          <w:sz w:val="18"/>
          <w:szCs w:val="18"/>
        </w:rPr>
        <w:t xml:space="preserve">the </w:t>
      </w:r>
      <w:hyperlink r:id="rId4">
        <w:r w:rsidRPr="000D4763">
          <w:rPr>
            <w:rStyle w:val="Hyperlink"/>
            <w:rFonts w:ascii="Arial" w:hAnsi="Arial" w:cs="Arial"/>
            <w:sz w:val="18"/>
            <w:szCs w:val="18"/>
          </w:rPr>
          <w:t>S</w:t>
        </w:r>
        <w:r w:rsidRPr="000D4763">
          <w:rPr>
            <w:rStyle w:val="Hyperlink"/>
            <w:rFonts w:ascii="Arial" w:hAnsi="Arial" w:cs="Arial"/>
            <w:i/>
            <w:sz w:val="18"/>
            <w:szCs w:val="18"/>
          </w:rPr>
          <w:t>ex Discrimination Act 1984</w:t>
        </w:r>
        <w:r w:rsidRPr="000D4763">
          <w:rPr>
            <w:rStyle w:val="Hyperlink"/>
            <w:rFonts w:ascii="Arial" w:hAnsi="Arial" w:cs="Arial"/>
            <w:sz w:val="18"/>
            <w:szCs w:val="18"/>
          </w:rPr>
          <w:t xml:space="preserve"> (</w:t>
        </w:r>
        <w:proofErr w:type="spellStart"/>
        <w:r w:rsidRPr="000D4763">
          <w:rPr>
            <w:rStyle w:val="Hyperlink"/>
            <w:rFonts w:ascii="Arial" w:hAnsi="Arial" w:cs="Arial"/>
            <w:sz w:val="18"/>
            <w:szCs w:val="18"/>
          </w:rPr>
          <w:t>Cth</w:t>
        </w:r>
        <w:proofErr w:type="spellEnd"/>
        <w:r w:rsidRPr="000D4763">
          <w:rPr>
            <w:rStyle w:val="Hyperlink"/>
            <w:rFonts w:ascii="Arial" w:hAnsi="Arial" w:cs="Arial"/>
            <w:sz w:val="18"/>
            <w:szCs w:val="18"/>
          </w:rPr>
          <w:t>)</w:t>
        </w:r>
      </w:hyperlink>
      <w:r w:rsidRPr="000D4763">
        <w:rPr>
          <w:rFonts w:ascii="Arial" w:hAnsi="Arial" w:cs="Arial"/>
          <w:sz w:val="18"/>
          <w:szCs w:val="18"/>
        </w:rPr>
        <w:t xml:space="preserve"> and the </w:t>
      </w:r>
      <w:hyperlink r:id="rId5">
        <w:r w:rsidRPr="000D4763">
          <w:rPr>
            <w:rStyle w:val="Hyperlink"/>
            <w:rFonts w:ascii="Arial" w:hAnsi="Arial" w:cs="Arial"/>
            <w:i/>
            <w:sz w:val="18"/>
            <w:szCs w:val="18"/>
          </w:rPr>
          <w:t>Workplace Gender Equality Act 2012</w:t>
        </w:r>
      </w:hyperlink>
      <w:r w:rsidRPr="000D4763">
        <w:rPr>
          <w:rFonts w:ascii="Arial" w:hAnsi="Arial" w:cs="Arial"/>
          <w:sz w:val="18"/>
          <w:szCs w:val="18"/>
        </w:rPr>
        <w:t xml:space="preserve"> (</w:t>
      </w:r>
      <w:proofErr w:type="spellStart"/>
      <w:r w:rsidRPr="000D4763">
        <w:rPr>
          <w:rFonts w:ascii="Arial" w:hAnsi="Arial" w:cs="Arial"/>
          <w:sz w:val="18"/>
          <w:szCs w:val="18"/>
        </w:rPr>
        <w:t>Cth</w:t>
      </w:r>
      <w:proofErr w:type="spellEnd"/>
      <w:r w:rsidRPr="000D4763">
        <w:rPr>
          <w:rFonts w:ascii="Arial" w:hAnsi="Arial" w:cs="Arial"/>
          <w:sz w:val="18"/>
          <w:szCs w:val="18"/>
        </w:rPr>
        <w:t>)</w:t>
      </w:r>
      <w:r w:rsidR="00C95018" w:rsidRPr="000D4763">
        <w:rPr>
          <w:rFonts w:ascii="Arial" w:hAnsi="Arial" w:cs="Arial"/>
          <w:sz w:val="18"/>
          <w:szCs w:val="18"/>
        </w:rPr>
        <w:t xml:space="preserve">; </w:t>
      </w:r>
      <w:r w:rsidR="00C347CB" w:rsidRPr="000D4763">
        <w:rPr>
          <w:rFonts w:ascii="Arial" w:hAnsi="Arial" w:cs="Arial"/>
          <w:sz w:val="18"/>
          <w:szCs w:val="18"/>
        </w:rPr>
        <w:t>e</w:t>
      </w:r>
      <w:r w:rsidRPr="000D4763">
        <w:rPr>
          <w:rFonts w:ascii="Arial" w:hAnsi="Arial" w:cs="Arial"/>
          <w:sz w:val="18"/>
          <w:szCs w:val="18"/>
        </w:rPr>
        <w:t>nterprise agreements, workplace determinations and modern awards.</w:t>
      </w:r>
    </w:p>
  </w:footnote>
  <w:footnote w:id="5">
    <w:p w14:paraId="6AC5B61C" w14:textId="77777777" w:rsidR="0067124C" w:rsidRDefault="0067124C" w:rsidP="0067124C">
      <w:pPr>
        <w:pStyle w:val="FootnoteText"/>
      </w:pPr>
      <w:r>
        <w:rPr>
          <w:rStyle w:val="FootnoteReference"/>
        </w:rPr>
        <w:footnoteRef/>
      </w:r>
      <w:r>
        <w:t xml:space="preserve"> Except for Indicator 2: Gender composition of the governing body. You may use a single data point for this indicator (tell us what proportion of your governing body </w:t>
      </w:r>
      <w:proofErr w:type="gramStart"/>
      <w:r>
        <w:t>were women, men or people of self-described gender</w:t>
      </w:r>
      <w:proofErr w:type="gramEnd"/>
      <w:r>
        <w:t xml:space="preserve"> in your 2023 and 2025 audits).</w:t>
      </w:r>
    </w:p>
  </w:footnote>
  <w:footnote w:id="6">
    <w:p w14:paraId="107DB15F" w14:textId="1B940B64" w:rsidR="0067124C" w:rsidRDefault="0067124C" w:rsidP="00F538C8">
      <w:r w:rsidRPr="008B39A7">
        <w:rPr>
          <w:rStyle w:val="FootnoteReference"/>
          <w:szCs w:val="18"/>
        </w:rPr>
        <w:footnoteRef/>
      </w:r>
      <w:r w:rsidRPr="008B39A7">
        <w:t xml:space="preserve"> </w:t>
      </w:r>
      <w:r w:rsidRPr="00F538C8">
        <w:rPr>
          <w:rStyle w:val="FootnoteTextChar"/>
        </w:rPr>
        <w:t xml:space="preserve">You </w:t>
      </w:r>
      <w:r w:rsidR="00296F07">
        <w:rPr>
          <w:rStyle w:val="FootnoteTextChar"/>
        </w:rPr>
        <w:t>must</w:t>
      </w:r>
      <w:r w:rsidRPr="00F538C8">
        <w:rPr>
          <w:rStyle w:val="FootnoteTextChar"/>
        </w:rPr>
        <w:t xml:space="preserve"> use the</w:t>
      </w:r>
      <w:r>
        <w:rPr>
          <w:rStyle w:val="FootnoteTextChar"/>
        </w:rPr>
        <w:t xml:space="preserve"> </w:t>
      </w:r>
      <w:r w:rsidR="000F7B56">
        <w:rPr>
          <w:rStyle w:val="FootnoteTextChar"/>
        </w:rPr>
        <w:t>2026</w:t>
      </w:r>
      <w:r w:rsidRPr="00F538C8">
        <w:rPr>
          <w:rStyle w:val="FootnoteTextChar"/>
        </w:rPr>
        <w:t xml:space="preserve"> </w:t>
      </w:r>
      <w:r w:rsidRPr="00F538C8">
        <w:rPr>
          <w:rStyle w:val="FootnoteTextChar"/>
          <w:highlight w:val="lightGray"/>
        </w:rPr>
        <w:t xml:space="preserve">progress report template </w:t>
      </w:r>
      <w:r w:rsidRPr="00F538C8">
        <w:rPr>
          <w:rStyle w:val="FootnoteTextChar"/>
        </w:rPr>
        <w:t xml:space="preserve">as prescribed in the Gender Equality Regulations 2020. Please refer to guidance on the </w:t>
      </w:r>
      <w:hyperlink w:anchor="_*_The_proposed" w:history="1">
        <w:r w:rsidRPr="00F538C8">
          <w:rPr>
            <w:rStyle w:val="FootnoteTextChar"/>
          </w:rPr>
          <w:t>regulations</w:t>
        </w:r>
      </w:hyperlink>
      <w:r w:rsidRPr="00F538C8">
        <w:rPr>
          <w:rStyle w:val="FootnoteTextChar"/>
        </w:rPr>
        <w:t xml:space="preserve"> for further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9651539"/>
      <w:docPartObj>
        <w:docPartGallery w:val="Page Numbers (Top of Page)"/>
        <w:docPartUnique/>
      </w:docPartObj>
    </w:sdtPr>
    <w:sdtContent>
      <w:p w14:paraId="4AEB4925" w14:textId="29F582E0" w:rsidR="00E1547D" w:rsidRDefault="00E1547D" w:rsidP="007F6E0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2BBA5E" w14:textId="77777777" w:rsidR="00E1547D" w:rsidRDefault="00E1547D" w:rsidP="00F538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2976659"/>
      <w:docPartObj>
        <w:docPartGallery w:val="Page Numbers (Top of Page)"/>
        <w:docPartUnique/>
      </w:docPartObj>
    </w:sdtPr>
    <w:sdtContent>
      <w:p w14:paraId="706A884F" w14:textId="0F6E4AE0" w:rsidR="00E1547D" w:rsidRDefault="00E1547D" w:rsidP="007F6E0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p w14:paraId="5F48C2AF" w14:textId="3A47B5B7" w:rsidR="006F2308" w:rsidRPr="00E1547D" w:rsidRDefault="00A964EC" w:rsidP="00F538C8">
    <w:pPr>
      <w:pStyle w:val="Header"/>
      <w:ind w:right="360"/>
    </w:pPr>
    <w:r w:rsidRPr="008F5397">
      <w:rPr>
        <w:noProof/>
      </w:rPr>
      <mc:AlternateContent>
        <mc:Choice Requires="wpg">
          <w:drawing>
            <wp:anchor distT="0" distB="0" distL="114300" distR="114300" simplePos="0" relativeHeight="251658240" behindDoc="1" locked="0" layoutInCell="1" allowOverlap="1" wp14:anchorId="2BAAC333" wp14:editId="510F3B84">
              <wp:simplePos x="0" y="0"/>
              <wp:positionH relativeFrom="page">
                <wp:posOffset>7761767</wp:posOffset>
              </wp:positionH>
              <wp:positionV relativeFrom="paragraph">
                <wp:posOffset>-460213</wp:posOffset>
              </wp:positionV>
              <wp:extent cx="7790323" cy="905347"/>
              <wp:effectExtent l="0" t="0" r="1270" b="9525"/>
              <wp:wrapNone/>
              <wp:docPr id="7" name="Group 7">
                <a:extLst xmlns:a="http://schemas.openxmlformats.org/drawingml/2006/main">
                  <a:ext uri="{FF2B5EF4-FFF2-40B4-BE49-F238E27FC236}">
                    <a16:creationId xmlns:a16="http://schemas.microsoft.com/office/drawing/2014/main" id="{AB19025B-53CA-4CBB-9DBB-C5C04A076BBC}"/>
                  </a:ext>
                </a:extLst>
              </wp:docPr>
              <wp:cNvGraphicFramePr/>
              <a:graphic xmlns:a="http://schemas.openxmlformats.org/drawingml/2006/main">
                <a:graphicData uri="http://schemas.microsoft.com/office/word/2010/wordprocessingGroup">
                  <wpg:wgp>
                    <wpg:cNvGrpSpPr/>
                    <wpg:grpSpPr>
                      <a:xfrm>
                        <a:off x="0" y="0"/>
                        <a:ext cx="7790323" cy="905347"/>
                        <a:chOff x="33139" y="-25008"/>
                        <a:chExt cx="9138998" cy="1064684"/>
                      </a:xfrm>
                    </wpg:grpSpPr>
                    <pic:pic xmlns:pic="http://schemas.openxmlformats.org/drawingml/2006/picture">
                      <pic:nvPicPr>
                        <pic:cNvPr id="2" name="Picture 2" descr="Shape&#10;&#10;Description automatically generated">
                          <a:extLst>
                            <a:ext uri="{FF2B5EF4-FFF2-40B4-BE49-F238E27FC236}">
                              <a16:creationId xmlns:a16="http://schemas.microsoft.com/office/drawing/2014/main" id="{937F5801-006D-41FE-BF41-DCFEA04B586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7111"/>
                        <a:stretch/>
                      </pic:blipFill>
                      <pic:spPr>
                        <a:xfrm>
                          <a:off x="7078661" y="-25008"/>
                          <a:ext cx="2093476" cy="1063413"/>
                        </a:xfrm>
                        <a:prstGeom prst="rect">
                          <a:avLst/>
                        </a:prstGeom>
                      </pic:spPr>
                    </pic:pic>
                    <pic:pic xmlns:pic="http://schemas.openxmlformats.org/drawingml/2006/picture">
                      <pic:nvPicPr>
                        <pic:cNvPr id="3" name="Picture 3" descr="Shape&#10;&#10;Description automatically generated">
                          <a:extLst>
                            <a:ext uri="{FF2B5EF4-FFF2-40B4-BE49-F238E27FC236}">
                              <a16:creationId xmlns:a16="http://schemas.microsoft.com/office/drawing/2014/main" id="{33BB0BA2-735A-416A-9668-7CD0665E6546}"/>
                            </a:ext>
                          </a:extLst>
                        </pic:cNvPr>
                        <pic:cNvPicPr>
                          <a:picLocks noChangeAspect="1"/>
                        </pic:cNvPicPr>
                      </pic:nvPicPr>
                      <pic:blipFill rotWithShape="1">
                        <a:blip r:embed="rId1">
                          <a:extLst>
                            <a:ext uri="{28A0092B-C50C-407E-A947-70E740481C1C}">
                              <a14:useLocalDpi xmlns:a14="http://schemas.microsoft.com/office/drawing/2010/main" val="0"/>
                            </a:ext>
                          </a:extLst>
                        </a:blip>
                        <a:srcRect r="33125"/>
                        <a:stretch/>
                      </pic:blipFill>
                      <pic:spPr>
                        <a:xfrm>
                          <a:off x="33139" y="-23736"/>
                          <a:ext cx="7050870" cy="1063412"/>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60B85719" id="Group 6" o:spid="_x0000_s1026" style="position:absolute;margin-left:611.15pt;margin-top:-36.25pt;width:613.4pt;height:71.3pt;z-index:-251658240;mso-position-horizontal-relative:page;mso-width-relative:margin;mso-height-relative:margin" coordorigin="331,-250" coordsize="91389,106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due9AgAA6AcAAA4AAABkcnMvZTJvRG9jLnhtbOyVXW/bIBSG7yft&#10;PyAm7a7xV2LHXpOqWtZqUrVF66ZdE4xtVBsQkK9/vwO2o6attKnazaRdhAAHDi+vH+Dy6tC1aMe0&#10;4VIscDQJMWKCypKLeoF/fL+5mGNkLBElaaVgC3xkBl8t37653KuCxbKRbck0giTCFHu1wI21qggC&#10;QxvWETORigkIVlJ3xEJT10GpyR6yd20Qh2Ea7KUulZaUGQO9qz6Ilz5/VTFqv1aVYRa1CwzarC+1&#10;LzeuDJaXpKg1UQ2ngwzyChUd4QIWPaVaEUvQVvNnqTpOtTSyshMqu0BWFafM7wF2E4VPdnOr5Vb5&#10;vdTFvlYnm8DaJz69Oi39srvV6l6tNTixVzV44VtuL4dKd+4fVKKDt+x4sowdLKLQmWV5mMQJRhRi&#10;eThLplnvKW3AeDctSaIkxwjCF/EsDOdj+NOQIY+SeZ4DJi5DFKbTdD51Y4JRQHAmS3FawG/wAmrP&#10;vPg9MzDLbjXDQ5Luj3J0RD9s1QV8NkUs3/CW26NHED6QEyV2a07Xum+ArWuNeLnAMUaCdEA+RN2i&#10;CDpKZigweN8Qxd6/O1x/8MXK9XJl4SQhsrUSiOeUtO0R1UwwTSwrnS9uLZe+X4w4M+4kfTBIyI8N&#10;ETW7NgqwBy+9i+fDA9c8U7ppubrhbYu0tD+5bbwoN9l9eRccTAK9T5h7weee55Wk244J2x9QzVrY&#10;iBSm4cpgpAvWbRgYoz+XXiEpjKbfQLE7omkWRWOv1czSxpHgRI86ewMMAPsColmYzdM0ekbbSGsc&#10;5gBoemItmUbJGWtgpzb2lskOuQqoBGHeCrK7M7bHchwyKOu1eJEgtNcHlX+GUDi854RCx39CXyQU&#10;DgFcZ/HMMQPcvoLQx7dhkiVpn2nkMwtn4TyDd2q4C4HP+K/z6e9TeE78FTs8fe69etyG+uMHevkL&#10;AAD//wMAUEsDBAoAAAAAAAAAIQCZfnzNxyEAAMchAAAVAAAAZHJzL21lZGlhL2ltYWdlMS5qcGVn&#10;/9j/4QAYRXhpZgAASUkqAAgAAAAAAAAAAAAAAP/sABFEdWNreQABAAQAAABkAAD/4QQgaHR0cDov&#10;L25zLmFkb2JlLmNvbS94YXAvMS4wLwA8P3hwYWNrZXQgYmVnaW49Iu+7vyIgaWQ9Ilc1TTBNcENl&#10;aGlIenJlU3pOVGN6a2M5ZCI/PiA8eDp4bXBtZXRhIHhtbG5zOng9ImFkb2JlOm5zOm1ldGEvIiB4&#10;OnhtcHRrPSJBZG9iZSBYTVAgQ29yZSA2LjAtYzAwMiA3OS4xNjQ0NjAsIDIwMjAvMDUvMTItMTY6&#10;MDQ6MT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WxuczpkYz0iaHR0cDovL3B1cmwub3Jn&#10;L2RjL2VsZW1lbnRzLzEuMS8iIHhtcE1NOk9yaWdpbmFsRG9jdW1lbnRJRD0idXVpZDo1RDIwODky&#10;NDkzQkZEQjExOTE0QTg1OTBEMzE1MDhDOCIgeG1wTU06RG9jdW1lbnRJRD0ieG1wLmRpZDpCMDE3&#10;NzM3MTA2NDUxMUVCQUI0QkUwM0I3NEVBMTVFMiIgeG1wTU06SW5zdGFuY2VJRD0ieG1wLmlpZDpC&#10;MDE3NzM3MDA2NDUxMUVCQUI0QkUwM0I3NEVBMTVFMiIgeG1wOkNyZWF0b3JUb29sPSJBZG9iZSBJ&#10;bGx1c3RyYXRvciAyNC4zIChNYWNpbnRvc2gpIj4gPHhtcE1NOkRlcml2ZWRGcm9tIHN0UmVmOmlu&#10;c3RhbmNlSUQ9InhtcC5paWQ6ZTY0N2EyYzQtMmM0Ni00MTlmLTk5OTgtMjYwNzRjODM2MmFhIiBz&#10;dFJlZjpkb2N1bWVudElEPSJ4bXAuZGlkOmU2NDdhMmM0LTJjNDYtNDE5Zi05OTk4LTI2MDc0Yzgz&#10;NjJhYSIvPiA8ZGM6dGl0bGU+IDxyZGY6QWx0PiA8cmRmOmxpIHhtbDpsYW5nPSJ4LWRlZmF1bHQi&#10;PkRQQ19CcmFuZGluZy1mb3ItdGhlLUNHRVBTX01BU1RFUl9SR0JfRkE8L3JkZjpsaT4gPC9yZGY6&#10;QWx0PiA8L2RjOnRpdGxlPiA8L3JkZjpEZXNjcmlwdGlvbj4gPC9yZGY6UkRGPiA8L3g6eG1wbWV0&#10;YT4gPD94cGFja2V0IGVuZD0iciI/Pv/tAEhQaG90b3Nob3AgMy4wADhCSU0EBAAAAAAADxwBWgAD&#10;GyVHHAIAAAIAAgA4QklNBCUAAAAAABD84R+JyLfJeC80YjQHWHfr/+4ADkFkb2JlAGTAAAAAAf/b&#10;AIQAAQEBAQEBAQEBAQEBAQEBAQEBAQEBAQEBAQEBAQEBAQEBAQEBAQEBAQEBAQICAgICAgICAgIC&#10;AwMDAwMDAwMDAwEBAQEBAQECAQECAgIBAgIDAwMDAwMDAwMDAwMDAwMDAwMDAwMDAwMDAwMDAwMD&#10;AwMDAwMDAwMDAwMDAwMDAwMD/8AAEQgAZAJYAwERAAIRAQMRAf/EAMMAAQEAAgMAAwEAAAAAAAAA&#10;AAAIAQcECQoCBQYDAQEAAQQDAQAAAAAAAAAAAAAACQEGBwgCAwQFEAABAwMCBAIHAwgKAwAAAAAA&#10;AQIDBAUGEQchUaEIErUxEzV1NnYJQSIUQiMV1bZXlxnwYXFS0iRUFpYYMjd3EQACAQEDBwMOCwUI&#10;AwAAAAAAAQIDEQQFITFBURIGB3G0N2Gx0SIyUrITM3M1dggJgZGhQnKSI5N0FhdiYxRUdcGiwlOz&#10;NBU2giRk/9oADAMBAAIRAxEAPwDo/RET08STVJ6HYZ1StM8OXUWS1ldkcOXUWS1jZHDl1FktY2Rw&#10;5dRZLWNkcOXUWS1jZHDl1FktY2Rw5dRZLWNkcOXUWS1jZHDl1FktY2Rw5dRZLWNkcOXUWS1jZHDl&#10;1FktY2Rw5dRZLWNkcOXUWS1jZHDl1FktY2Rw5dRZLWNkcOXUWS1jZHDl1FktY2Rw5dRZLWNkcOXU&#10;WS1jZHDl1FktY2Rw5dRZLWNkcOXUWS1jZHDl1FktY2Rw5dRZLWNkcOXUWS1jZHDl1FktY2Rw5dRZ&#10;LWNkcOXUWS1jZHDl1FktY2Rw5dRZLWNkcOXUWS1jZHDl1FktY2Rw5dRZLWNkcOXUWS1jZHDl1Fkt&#10;Y2Rw5dRZLWNkcOXUWS1jZHDl1FktY2Rw5dRZLWNkcOXUWS1jZHDl1FktY2Rw5dRZLWNkcOXUWS1j&#10;ZHDl1FktY2Rw5dRZLWNkcOXUWS1jZHDl1FktY2Rw5dRZLWNkuvtc+A74vPLKjym1mHuIXpmkv/mX&#10;hzIFPeodO+B+qVHn9/KULFIzQAAAAAAAAAAAAAADg3b2NfPcd48uqDpvHknyrroybwb6TcJ87V5v&#10;VJ2PESBgAAAAAAAAAAAAAAAAhc2vWnlJzY6eUwVOQAAAAAAAAAAAAAAAAAAAAAAAAAAAAAAAAAAA&#10;AAAAAAAAAAAAAAAAAAAAAAAAAAAAAAAAAAAABdva58B3v5sqfKbWYc4hemqX4ZeHMgS96h074H6p&#10;0ef38pMsUjNAAAAAAAAAAAAAAAODdvY189x3jy6oOm8eSfKuujJvBvpNwnztXm9UnY8RIGAAAAAA&#10;AAAAAAAAAACFza9aeUnNjp5TBU5AAAAAAAAAAAAAAAAAAAAAAAAAAAAAAAAAAAAAAAAAAAAAAAAA&#10;AAAAAAAAAAAAAAAAAAAAAAAF29rnwHe/myp8ptZhziF6apfhl4cyBL3qHTvgfqnR5/fykyxSM0AA&#10;AaLoq6LoioirouiKuuiKumia6cOZS0WPOlkBUAAAAAAAAAHBu3sa+e47x5dUHTePJPlXXRk3g30m&#10;4T52rzeqTseIkDAAAAB8XvYxqve5rGpxVz3I1qJ/WqqiICjaSteY2Hiu0e7WdQpU4RtVuXmVK7RG&#10;1eLYFll/o11VETSstdoqqXiq/wB889S9Xai7K1SnCWqUorrs+jdMHxnEI7eH3O914a6dGpNfHGLX&#10;ymMq2l3ZwSFanONq9y8MpU9NXlWBZXj9Gi8U0WsutppaXVFav5ZWlerrXdlGrTm/2ZRb+JMXzB8Z&#10;w+O1f7ne6ENdSjUgvjlFL5TXrXse1Hsc17XcUcxyOaqc0VFVFQ78x85NNWrMfIFQAAAAQubXrTyk&#10;5sdPKYKnIAAAAAAAAAAAAAAAAAAAAAAAAAAAAAAAAAAAAAAAAAAAAAAAAAAAAAAAAAAAAAAAAAAA&#10;AAAAAu3tc+A7382VPlNrMOcQvTVL8MvDmQJe9Q6d8D9U6PP7+UmWKRmgAAFzdjOO2HLMl3Qx/JbR&#10;QXyzXHBaOKst1xgbPTyt/wBw0Ste3XR8M8buLJY1bJG7i1yKc6KUpyUlatlf2m0XswYPhePYvjeF&#10;Yzd6V5w6rhkVOnUjtRf29OxrTGSzxlFqUXlTTP7b89mN8w1K3KdrWV2T4rH6yprMdfrU5LYIU1e9&#10;aVGN8d/tsLdeLE/FRtT7zXoivKzpOOWOWPyo58VPZxxPd5Vcd3HVS+4Gk5Tu77a8UVn7WxW1qay5&#10;UvGRS7aMlbMhNdUVUVFRUVUVF4KioqoqKi6KioqcUOrOatNNOx5GgVAAAAAABwbt7GvnuO8eXVB0&#10;3jyT5V10ZN4N9JuE+dq83qk7HiJAwAACi+1/tZ3f7u9z6Ha3Z+yMrLgsTLhkuS3NZqbFcGx/1yQz&#10;ZBk9xiildBTo9VZT08TX1VbMnq4WOVHK35+JYldMKuzvN7dkcyS7qT1Jdd5lpLm3T3RxvfTFo4Rg&#10;lPaq2bU5ytVOlC2xzqS0LvYq2Unkis9nr57S/pH9qnbPbbXdsgxag3v3Vgjjlr893HtdJdLfR1/h&#10;X1iYjhdT+Lx/HaSJ6/mpHsqrgmmrqlfQmLMT3pxPEZOMJOjdn82Dsdn7Us7+RdQ3U3N4L7n7qUoV&#10;7zRjf8YSy1q8VKKf7uk7YQWptSnrmdotPT09JBFS0sENNTU8bYoKeniZDBDExEayKKKNrY442NTR&#10;GtRERC3G23a3azLcYxhFQgkoJZEsiXIjFTTU9ZTzUtXTwVVLURuhqKapijnp54np4XxTQytdHLG9&#10;F0VrkVFQJtO1OxicIzi4TScGrGmrU11UdW/dr9IztW7mLfdLxjmMUOx2608c01Dne3NspbZa66vV&#10;qLH/ALwwmmWkx/IKWV6fnZY2UlwXxKqVP2LcmF704lh0lCpJ1rrpjJ2tfRlnXyrqGI98+C25+9dO&#10;de60Y4fjDyqtQioxk/3tJWQmtbSjP9s8g3c72u7u9o+6Nw2q3gsbaG6RxOuGO5FbVmqcWzfHnTOh&#10;gyLFrlLFCtVSOengngkayqop9YpmNdorsp4diV1xS7K83SVsczT7qL1Nf25noNK9690sa3MxeWD4&#10;3T2ayW1CcbXTqwtsU6crFatDT7aLySS0zwe8toAAAhc2vWnlJzY6eUwVOQAAAAAAAAAAAAAAAAAA&#10;AAAAAAAAAAAAAAAAAAAAAAAAAAAAAAAAAAAAAAAAAAAAAAAAAAAAABdva58B3v5sqfKbWYc4hemq&#10;X4ZeHMgS96h074H6p0ef38pMsUjNAAAL/wDp8/Hu4fyTR/tBRHZQ8o/orrm2nsk/9nxf+mx/16Z2&#10;sIqoqKiqiouqKnBUVPtReZ6je5Np2rOSHvz2k4luolXkeLrSYfnr0dNJVxQeCxZDNxXwXujp2/5a&#10;smVdPxsLfGqrrKyT0p0zpKTtjkl8nwmvfFPgDu/vyqmL4J4vD96Xlc0rKFd/voR7mcv86Ct0zjPO&#10;upLN8Dy3bm/VONZlZauy3Wn1c2OdqOpqyn8SoytttZH4qa4UUv5MkTnN+xdHIqJ5nansyyM0C3n3&#10;Vx/c7FZ4NvFdql2v0Myku1nHROnNWxnB6JRbWjOmj8iVLeAAAABwbt7GvnuO8eXVB03jyT5V10ZN&#10;4N9JuE+dq83qk7HiJAwAfY2i0XbIbvacfsNvqLtfb9dLdY7JaqRiyVVzvF3rIbfbLfTMRFV09bW1&#10;DI2J/echxnOFODqTdkIptvUkrW/iOyjRrXmvC7XeLneKk1CEVnlKTSil1W2kj30dhPZ7ivZfsDj2&#10;3Vup6Krzy8w0mR7tZZDG1ajJs4qqRn4yOOpXWV1hx5HrRWyLVGR08frPCks0rnYRxvFquL36V4la&#10;qKyQjqjo+F531eREi/Drci57ibt0sLpKMsRqJTvFRZ6lVrLlz7EO5gtEVbnk7bWPkF+AAAAAiXv6&#10;7O8X70Ngch29rqeipNwLHDV5JtJlk8bEqMbzelpXfhIJKrRJWWDJGsShuUWqsfBIknhWWGJzfr4J&#10;itTCL9GurXQlknHXHsrOur8JYPEfci6b97t1cMqKKxKmnO7VHnhVSyK3PsT7ia1O3PFWeBm62q6W&#10;G63Ww3ygqLVe7Fc7hZb1a6tix1Vtu9pq5rfc7fUsVEVk9HW0743p/eaZujKM4qcHbCSTT1p5U/iI&#10;6atKtd607teIuF4pzcZReeMotqSfVTTRwDkcAAQubXrTyk5sdPKYKnIAAAAAAAAAAAAAAAAAAAAA&#10;AAAAAAAAAAAAAAAAAAAAAAAAAAAAAAAAAAAAAAAAAAAAAAAAAAAu3tc+A7382VPlNrMOcQvTVL8M&#10;vDmQJe9Q6d8D9U6PP7+UmWKRmgAAF/8A0+fj3cP5Jo/2gojsoeUf0V1zbT2Sf+z4v/TY/wCvTO1g&#10;9RvaAD8JuFtrhm6Vhkx3NbNDdKL776KpTSG52ipe1WpW2i4Nas9FUJ9umsciJo9rm8DjKMZqyRa2&#10;9m5e7m++FywjeS7xr3bK4SzVKUn8+lPPCWvPGSySjJZDqH317WMz2gkqb3bPXZbgKSOc2/0kH+es&#10;0bnfchySgi8S0vh10Sqj1pnr6VjcqMPLOEoZc8dfZI+uKPArePh9KeJ3Hav+6ttqrxj29JaFeIK3&#10;Z1eMVtOWuLaiS2cDBgKgAHBu3sa+e47x5dUHTePJPlXXRk3g30m4T52rzeqTseIkDAB2efR52uod&#10;0O/jab9K0rKu2bcW7K91J4ZERzfx+LWxtFjsytVFRVo8nvlFO3k+Jqlub1Xl3bBKuy7JVHGHxvL8&#10;iaMr8E8Ip4vxGuXjltUrrGpeGurTjZB/BUnF8qPcmYbJAAAAAAAAAeGb6wO11Btd39bvMtVO2ltm&#10;4lFiu6sELWo1iV2W2tafIpmNaiIiVeUWatnXm+VymZd1by7zglJy7qm3D6ryf3WiP3jXhFPCOI1+&#10;VFbNK9Rp3hLq1I2Tfw1IzfKzrJLiMVAAhc2vWnlJzY6eUwVOQAAAAAAAAAAAAAAAAAAAAAAAAAAA&#10;AAAAAAAAAAAAAAAAAAAAAAAAAAAAAAAAAAAAAAAAAAAABdva58B3v5sqfKbWYc4hemqX4ZeHMgS9&#10;6h074H6p0ef38pMsUjNAAAO4X6N22mL7nbwbwWrKYq+Wlt+2dsraZKCuloZEnfldFE5XviRVe1Wf&#10;YWlvXjd/wS70q1wcVOc9l7UVLJY3pN/fd/7q4TvXvzjt1xZVHSp4TCS2JuDt/iaSytZ0ehf/AKjb&#10;O/6TI/8AkVZ/hLG/P28ff0vu4kqn6Nbl97e/vpdgf9Rtnf8ASZH/AMirP8I/P28ff0vu4j9Gty+9&#10;vf30uwP+o2zv+kyP/kVZ/hH5+3j7+l93Efo1uX3t7++l2CPO7LIOy/tJxqSfP6nIL9mN1op3Y7td&#10;Y8mdV5NkTXMcxJK6nla+nsePSOXwy1tYjYVRHNjbNInql+1g+8G+OM1dm7ukqC7qbpx2Vya31F8N&#10;iymBuN+8PAXgfhDq701LzecdrU34jD6Vfar1001bOLTjSoPNKrVWy1aoRqTWw/KtuBktozDM8iya&#10;wYfacBs15uU1ZbsPsdTW1ltsdM/RGUkFXXvdUVL+Hikf4Yo3SOcrI4meFjcj0Y1IU1GtLbqWZXYo&#10;2vXYsi5CEjevGbhvBvFe8Zwu4UMLw+8VXKndaLnKnRjoipTbb1t2Ri5N7MIRsivx52lvAA4N29jX&#10;z3HePLqg6bx5J8q66Mm8G+k3CfO1eb1SdjxEgYANhbbd2O+fZpfKvdzt8yCz4zm9ZapcNrbnesYs&#10;+V03+271W0NfXU0VuvdPUUsM01ws1IvrWoj2oxW66OU+5u9u5g29OI/8VjkJVLo6cpxUZyg9uNlm&#10;WLTs2XLIbIeyxQuN84oSuN+Taq4XeNix2PahKlOxf+MZN8hvD+f59UD98WBfwW28/VZfn6JcPP5W&#10;v9/V7JI1+U8G72p9d9gfz/PqgfviwL+C23v6rH6JcPP5Wt9/V7I/KeDd7U+u+wP5/n1QP3xYF/Bb&#10;b39Vj9EuHn8rW+/q9kflPBu9qfXfYH8/z6oH74sC/gtt7+qx+iXDz+Vrff1eyPyng3e1PrvsD+f5&#10;9UD98WBfwW29/VY/RLh5/K1vv6vZH5Twbvan132B/P8APqgfviwL+C23v6rH6JcPP5Wt9/V7I/Ke&#10;Dd7U+u+waO3J7rt8+8m+Um7vcFkNpybOKa1xYfR3GzYzZ8UpW45ZqysraGmdbrJBT0ks0dddqlVl&#10;VvjcjkRV0ahYW8O7mC7rYk8JwKEoXRQjOSlOU3tyttyyy9yo5COL2pqNxunFJXG427NHC7upWu17&#10;U5VZ2dTtZRfwmvj4hrkACFza9aeUnNjp5TBU5AAAAAAAAAAAAAAAAAAAAAAAAAAAAAAAAAAAAAAA&#10;AAAAAAAAAAAAAAAAAAAAAAAAAAAAAAAAAF29rnwHe/myp8ptZhziF6apfhl4cyBL3qHTvgfqnR5/&#10;fykyxSM0AAA7xfoWf+8t7f8A5Rav2vojHnEL/Y0PO/4WSQ+7a6Qt4f6NDnNI9OZigmGP41FRT0kE&#10;9VVTw01LTQy1FTU1EjIaenp4WOkmnnmkc2OKGKNquc5yo1qJqq6FUnJ7KytnXVq0qFKVetKMKMIu&#10;UpSaUYxStbbdiSSytvIllZ0U97f1f7Bhn6X2z7Vai3ZZljFloLvu5PDHX4hjsqKsc8WH0kqLDll1&#10;hdqiVj0W2RORFYlWir4cgYBuVVvGzesWThRzqnmk/pd6up3WvZI2/aJ9u/Ct3fH7ocGJUr9jithV&#10;xJpTu1F5mrrF5LxUWirK27xdjiq6fa+cPKsryfOciu+XZnf7vlOUX6rkr7zf77XVFyutyq5F+9LV&#10;VdS98r/C3RrGpoyNiI1qI1ERMp0LvRutJUKEVClFWJJWJfERK45juM7zYtXx3eG9V77jF5qOdWtW&#10;nKpUnJ53KUm29CStsSSSsSSPz53HygAADg3b2NfPcd48uqDpvHknyrroybwb6TcJ87V5vVJ2PESB&#10;gA+gyi0fp2wXS1tRPW1NM5adV9CVcKpNSr/VrPGiL/Uqn1sCxH/icXoX99xCotr6Eu1l8jb+Avnh&#10;nvd+RN/sL3pnb/C3a8rxyWmhUTp1l8FOcpJa0iN3NfG98cjHRyxudHJG5FRzJGOVr2ORdFRzXIqK&#10;bMQnGpFTg04NJprM08qa6jRMjRrUbzSjeLvKM7vUhGUJJ2qUZLajJPSpRaaepnxOR2gAAAA+TGPk&#10;eyONjpJJHtjjjbxc+R7kaxjU+1z3qiJ/acZzjTi5zaUEm23mSWVv4EdNevQutGd5vM407tThKc5N&#10;2KMIpylJvQoxTbepFlYzaP0FYbZal09ZS0rUqFT0OqpVdNUqnPSaRU15IazY5iP/ACuLV8QXcVKj&#10;2foLtY/3UiGziTvb+et/MU3qjb/DXq8vxKedUIJU6Ks0fZxi31Wz70+UWSACFza9aeUnNjp5TBU5&#10;AAAAAAAAAAAAAAAAAAAAAAAAAAAAAAAAAAAAAAAAAAAAAAAAAAAAAAAAAAAAAAAAAAAAAAAAF29r&#10;nwHe/myp8ptZhziF6apfhl4cyBL3qHTvgfqnR5/fykyxSM0AAA7xfoWf+8t7f/lFq/a+iMecQv8A&#10;Y0PO/wCFkkPu2ukLeH+jQ5zSPQNvx3EbR9tmF1GdbuZZR47a09bDa7e3SryHJbhHH6xLTjVkiclZ&#10;dq96aaoxEihavjmfHGivTG2H4bfMUr/w9zg5T0vRFa5PQuvmVrJQ+JXFTcbhJu/LePfm/U7pc8qp&#10;w7qveJpW+LoUk9qpPXZZGC7apKEbZLys96P1Kt3O6yevxCwurNstlFkfFFhVsrl/TGV07ZNYqrPb&#10;xTKz8ekiNRyW6BW0EXBHpUPakpl/Ad1LnhKVetZVv/fNZI/RWjlz9VW2EK/tCe17vzxpqVcBwlzw&#10;jh9a0rrTl9reY25JXypGzbtWXxMbKMXnVSUVUOtr0cE9CF2GoYKgAAAAHBu3sa+e47x5dUHTePJP&#10;lXXRk3g30m4T52rzeqTseIkDAAANF7lYHNJLPktlgdKsmsl3oYW6v8aJ964U8bU1f4kT86xE1Rfv&#10;prqplfcfe2nTpxwTFJqKWSjNvJZopyeiz5jf0XoN4/Zr48XO63Sjw431rqkqfaXC81HZHZbyXWrJ&#10;5I7Lf2E5PZsfipNWQt0UZZN7GmsjAAACrp/T+nFQUy6De22uCTRTQZJeoHQujT1lpoZm6SI9yfdu&#10;FRG5NWeFq/mmro7X7y6fdMS78b20qtOWCYXNSTyVprNZ/lxenL3bWT5q0miXtJcdbnfLpX4b7l11&#10;Vpzexf7zTdsNlPLdaM1kla19vNNxsXiot2zs3mYpNHgAACFza9aeUnNjp5TBU5AAAAAAAAAAAAAA&#10;AAAAAAAAAAAAAAAAAAAAAAAAAAAAAAAAAAAAAAAAAAAAAAAAAAAAAAAAAAF29rnwHe/myp8ptZhz&#10;iF6apfhl4cyBL3qHTvgfqnR5/fykyxSM0AAAtnss7w6vs2uu7OX2TE4ssy7NMFocUxOG4VK02P2q&#10;5RX2C5S3a/tgcyvrKSmp4l8FPTqx88mjVkibq9Ldx/BFjcaNGpPYowqbUrM7VjVi0LPndtmpmxns&#10;9cfKnAG9Y3jdwuKvuO3/AA6N3uynLZoU5+OhN1K1jU5RjGOSEHFzdic4LKTzvDvVufv5mtduBuzl&#10;1yy7Ja1XsjmrHpFb7TRLI6SO02C0wIy32O0U7nfcgp42NVdXO8T1c5fqXDDrphtBXe5wUKa+N9Vv&#10;O31WYp3+4i758T94au8++9+rX7FKjdjk7IUoW2qnRpqyFKnHRCEYxttbtk23qw9xZIAAAAAAAODd&#10;vY189x3jy6oOm8eSfKuujJvBvpNwnztXm9UnY8RIGAAAAUaTVjzGv8i22x6/PkqmMfaa+RVc+poW&#10;sSKZ68VfUUjtIXucvpc3wOX7VUvDBt9sYwmCoTavF0WaM27UtUZrtktSe0loSM/cPPaO4g7hUKeG&#10;V5wxbAaaSjRvLlt04r5tK8L7SMVojNVILMkka0qtnL7G5fwd0tVUzXRqzLVUj9OH/k1IahqL/Yql&#10;8UOJeFSjbebveKcupszXwO2PWNk8L9sfcatSTxjC8UutezKqfia8bepLbpOzlijFLs5fJXJ+Mulr&#10;pY9fvLD+Jq5NNfyWLFTt1/tcgvHEvCox/wDWoXipLq7MF8Ltk/kGK+2PuNQot4PheKXq8WZFU8TQ&#10;jb+01Os7OSLNl47ttj1gkjqntfda+NUcyqrmsWKF6flU9I3WKNyL6HO8bk+xULGxnfbGMXg6EWrv&#10;c3kcYW2tapTeVrWlYnpNauIftGcQd/qFTDKU4YVgFRNSo3ZyU6kX82rXf2kovTGCpweZxZsL0+kt&#10;AwGkkrFmMAqAAAQubXrTyk5sdPKYKnIAAAAAAAAAAAAAAAAAAAAAAAAAAAAAAAAAAAAAAAAAAAAA&#10;AAAAAAAAAAAAAAAAAAAAAAAAAAAu3tc+A7382VPlNrMOcQvTVL8MvDmQJe9Q6d8D9U6PP7+UmWKR&#10;mgAAAAAAAAAAAAAAHBu3sa+e47x5dUHTePJPlXXRk3g30m4T52rzeqTseIkDAAAAAAAAAAAAAAAA&#10;BC5tetPKTmx08pgqcgAAAAAAAAAAAAAAAAAAAAAAAAAAAAAAAAAAAAAAAAAAAAAAAAAAAAAAAAAA&#10;AAAAAAAAAAAAAC7e1z4DvfzZU+U2sw5xC9NUvwy8OZAl71Dp3wP1To8/v5SZYpGaAAAAAAAAAAAA&#10;AAAcG7exr57jvHl1QdN48k+VddGTeDfSbhPnavN6pOx4iQMAAAAAAAAAAAAAAAAELm1608pObHTy&#10;mCpyAAAAAAAAAAAAAAAAAAAAAAAAAAAAAAAAAAAAAAAAAAAAAAAAAAAAAAAAAAAAAAAAAAAAAAAA&#10;Lt7XPgO9/NlT5TazDnEL01S/DLw5kCXvUOnfA/VOjz+/lJlikZoAAAAAAAAAAAAAABwbt7GvnuO8&#10;eXVB03jyT5V10ZN4N9JuE+dq83qk7HiJAwAAAAAAAAAAAAAAAAf/2VBLAwQUAAYACAAAACEAxJmp&#10;F+MAAAAMAQAADwAAAGRycy9kb3ducmV2LnhtbEyPwW7CMBBE75X6D9ZW6g0cGyg0jYMQantClQqV&#10;Km5LvCQRsR3FJgl/X/fUHkf7NPM2W4+mYT11vnZWgZgmwMgWTte2VPB1eJusgPmAVmPjLCm4kYd1&#10;fn+XYardYD+p34eSxRLrU1RQhdCmnPuiIoN+6lqy8XZ2ncEQY1dy3eEQy03DZZI8cYO1jQsVtrSt&#10;qLjsr0bB+4DDZiZe+93lvL0dD4uP750gpR4fxs0LsEBj+IPhVz+qQx6dTu5qtWdNzFLKWWQVTJZy&#10;ASwicj5/FsBOCpaJAJ5n/P8T+Q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LPddue9AgAA6AcAAA4AAAAAAAAAAAAAAAAAPAIAAGRycy9lMm9Eb2MueG1sUEsBAi0A&#10;CgAAAAAAAAAhAJl+fM3HIQAAxyEAABUAAAAAAAAAAAAAAAAAJQUAAGRycy9tZWRpYS9pbWFnZTEu&#10;anBlZ1BLAQItABQABgAIAAAAIQDEmakX4wAAAAwBAAAPAAAAAAAAAAAAAAAAAB8nAABkcnMvZG93&#10;bnJldi54bWxQSwECLQAUAAYACAAAACEAWGCzG7oAAAAiAQAAGQAAAAAAAAAAAAAAAAAvKAAAZHJz&#10;L19yZWxzL2Uyb0RvYy54bWwucmVsc1BLBQYAAAAABgAGAH0BAAAg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hape&#10;&#10;Description automatically generated" style="position:absolute;left:70786;top:-250;width:20935;height:10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AInwgAAANoAAAAPAAAAZHJzL2Rvd25yZXYueG1sRI/BasMw&#10;EETvgf6D2EBusWQfQnCthJBQ2kIJNKnvi7W1Ra2VsdTEyddXhUKPw8y8Yart5HpxoTFYzxryTIEg&#10;bryx3Gr4OD8t1yBCRDbYeyYNNwqw3TzMKiyNv/I7XU6xFQnCoUQNXYxDKWVoOnIYMj8QJ+/Tjw5j&#10;kmMrzYjXBHe9LJRaSYeW00KHA+07ar5O307Dq7wfDvnKKntUe4V1/Wxub6z1Yj7tHkFEmuJ/+K/9&#10;YjQU8Hsl3QC5+QEAAP//AwBQSwECLQAUAAYACAAAACEA2+H2y+4AAACFAQAAEwAAAAAAAAAAAAAA&#10;AAAAAAAAW0NvbnRlbnRfVHlwZXNdLnhtbFBLAQItABQABgAIAAAAIQBa9CxbvwAAABUBAAALAAAA&#10;AAAAAAAAAAAAAB8BAABfcmVscy8ucmVsc1BLAQItABQABgAIAAAAIQDl7AInwgAAANoAAAAPAAAA&#10;AAAAAAAAAAAAAAcCAABkcnMvZG93bnJldi54bWxQSwUGAAAAAAMAAwC3AAAA9gIAAAAA&#10;">
                <v:imagedata r:id="rId2" o:title="Shape&#10;&#10;Description automatically generated" cropleft="43982f"/>
              </v:shape>
              <v:shape id="Picture 3" o:spid="_x0000_s1028" type="#_x0000_t75" alt="Shape&#10;&#10;Description automatically generated" style="position:absolute;left:331;top:-237;width:70509;height:10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5+9xAAAANoAAAAPAAAAZHJzL2Rvd25yZXYueG1sRI9Pa8JA&#10;FMTvBb/D8oTe6sam2BJdg1gKBS819mBvz+zLH8y+DbtbE799tyB4HGbmN8wqH00nLuR8a1nBfJaA&#10;IC6tbrlW8H34eHoD4QOyxs4yKbiSh3w9eVhhpu3Ae7oUoRYRwj5DBU0IfSalLxsy6Ge2J45eZZ3B&#10;EKWrpXY4RLjp5HOSLKTBluNCgz1tGyrPxa9RgPq9+qmOr4tenr6cTYdj0e5elHqcjpsliEBjuIdv&#10;7U+tIIX/K/EGyPUfAAAA//8DAFBLAQItABQABgAIAAAAIQDb4fbL7gAAAIUBAAATAAAAAAAAAAAA&#10;AAAAAAAAAABbQ29udGVudF9UeXBlc10ueG1sUEsBAi0AFAAGAAgAAAAhAFr0LFu/AAAAFQEAAAsA&#10;AAAAAAAAAAAAAAAAHwEAAF9yZWxzLy5yZWxzUEsBAi0AFAAGAAgAAAAhALE3n73EAAAA2gAAAA8A&#10;AAAAAAAAAAAAAAAABwIAAGRycy9kb3ducmV2LnhtbFBLBQYAAAAAAwADALcAAAD4AgAAAAA=&#10;">
                <v:imagedata r:id="rId2" o:title="Shape&#10;&#10;Description automatically generated" cropright="21709f"/>
              </v:shape>
              <w10:wrap anchorx="page"/>
            </v:group>
          </w:pict>
        </mc:Fallback>
      </mc:AlternateContent>
    </w:r>
    <w:r w:rsidR="00BB71C0">
      <w:t xml:space="preserve">2026 </w:t>
    </w:r>
    <w:r w:rsidR="00C95018" w:rsidRPr="00E1547D">
      <w:t>Progress report guidance</w:t>
    </w:r>
    <w:r w:rsidR="00E1547D">
      <w:tab/>
    </w:r>
  </w:p>
  <w:p w14:paraId="53007B78" w14:textId="0561AA1D" w:rsidR="00A964EC" w:rsidRDefault="00A964EC" w:rsidP="00191440">
    <w:pPr>
      <w:pStyle w:val="Header"/>
      <w:tabs>
        <w:tab w:val="left" w:pos="832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286"/>
    <w:multiLevelType w:val="hybridMultilevel"/>
    <w:tmpl w:val="69DEC30C"/>
    <w:lvl w:ilvl="0" w:tplc="0C09000D">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4A5708"/>
    <w:multiLevelType w:val="multilevel"/>
    <w:tmpl w:val="82D832FE"/>
    <w:lvl w:ilvl="0">
      <w:start w:val="1"/>
      <w:numFmt w:val="bullet"/>
      <w:lvlText w:val="•"/>
      <w:lvlJc w:val="left"/>
      <w:pPr>
        <w:ind w:left="284" w:hanging="284"/>
      </w:pPr>
      <w:rPr>
        <w:rFonts w:ascii="Calibri" w:hAnsi="Calibri" w:hint="default"/>
      </w:rPr>
    </w:lvl>
    <w:lvl w:ilvl="1">
      <w:start w:val="1"/>
      <w:numFmt w:val="lowerLetter"/>
      <w:lvlText w:val="%2."/>
      <w:lvlJc w:val="left"/>
      <w:pPr>
        <w:ind w:left="644" w:hanging="360"/>
      </w:p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1D67CF2"/>
    <w:multiLevelType w:val="hybridMultilevel"/>
    <w:tmpl w:val="BDDA0AA4"/>
    <w:lvl w:ilvl="0" w:tplc="20CC8052">
      <w:numFmt w:val="bullet"/>
      <w:lvlText w:val=""/>
      <w:lvlJc w:val="left"/>
      <w:pPr>
        <w:ind w:left="360" w:hanging="360"/>
      </w:pPr>
      <w:rPr>
        <w:rFonts w:ascii="Symbol" w:eastAsiaTheme="minorHAnsi" w:hAnsi="Symbol" w:cstheme="minorBidi" w:hint="default"/>
      </w:rPr>
    </w:lvl>
    <w:lvl w:ilvl="1" w:tplc="74FED406">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443A25"/>
    <w:multiLevelType w:val="hybridMultilevel"/>
    <w:tmpl w:val="C664A21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676A45"/>
    <w:multiLevelType w:val="hybridMultilevel"/>
    <w:tmpl w:val="68FA9624"/>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C86E39"/>
    <w:multiLevelType w:val="multilevel"/>
    <w:tmpl w:val="C04CB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6E610C"/>
    <w:multiLevelType w:val="hybridMultilevel"/>
    <w:tmpl w:val="5A165C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0D08BF"/>
    <w:multiLevelType w:val="hybridMultilevel"/>
    <w:tmpl w:val="5DA84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F42091"/>
    <w:multiLevelType w:val="hybridMultilevel"/>
    <w:tmpl w:val="3E8A7D1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5A464E"/>
    <w:multiLevelType w:val="hybridMultilevel"/>
    <w:tmpl w:val="0F6A9C5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80734E"/>
    <w:multiLevelType w:val="hybridMultilevel"/>
    <w:tmpl w:val="F41445D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8104AB"/>
    <w:multiLevelType w:val="hybridMultilevel"/>
    <w:tmpl w:val="7DE2C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3210B6"/>
    <w:multiLevelType w:val="hybridMultilevel"/>
    <w:tmpl w:val="A2DEC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C68D4"/>
    <w:multiLevelType w:val="multilevel"/>
    <w:tmpl w:val="9D040EF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43F26B1B"/>
    <w:multiLevelType w:val="multilevel"/>
    <w:tmpl w:val="9168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325159"/>
    <w:multiLevelType w:val="hybridMultilevel"/>
    <w:tmpl w:val="4FDE5E0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6" w15:restartNumberingAfterBreak="0">
    <w:nsid w:val="4658535F"/>
    <w:multiLevelType w:val="multilevel"/>
    <w:tmpl w:val="CEFAD504"/>
    <w:lvl w:ilvl="0">
      <w:start w:val="1"/>
      <w:numFmt w:val="decimal"/>
      <w:lvlText w:val="%1."/>
      <w:lvlJc w:val="left"/>
      <w:pPr>
        <w:ind w:left="643" w:hanging="360"/>
      </w:pPr>
      <w:rPr>
        <w:rFonts w:hint="default"/>
        <w:b/>
        <w:bCs/>
      </w:rPr>
    </w:lvl>
    <w:lvl w:ilvl="1">
      <w:start w:val="4"/>
      <w:numFmt w:val="decimal"/>
      <w:isLgl/>
      <w:lvlText w:val="%1.%2"/>
      <w:lvlJc w:val="left"/>
      <w:pPr>
        <w:ind w:left="883" w:hanging="60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083" w:hanging="1800"/>
      </w:pPr>
      <w:rPr>
        <w:rFonts w:hint="default"/>
      </w:rPr>
    </w:lvl>
  </w:abstractNum>
  <w:abstractNum w:abstractNumId="17" w15:restartNumberingAfterBreak="0">
    <w:nsid w:val="46C818C6"/>
    <w:multiLevelType w:val="hybridMultilevel"/>
    <w:tmpl w:val="11EC071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D370D26"/>
    <w:multiLevelType w:val="hybridMultilevel"/>
    <w:tmpl w:val="2E1C57E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E030A21"/>
    <w:multiLevelType w:val="hybridMultilevel"/>
    <w:tmpl w:val="A5C2955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E735676"/>
    <w:multiLevelType w:val="hybridMultilevel"/>
    <w:tmpl w:val="18B403B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5835A7A"/>
    <w:multiLevelType w:val="hybridMultilevel"/>
    <w:tmpl w:val="900826F4"/>
    <w:lvl w:ilvl="0" w:tplc="0C09000D">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6BF31A1"/>
    <w:multiLevelType w:val="hybridMultilevel"/>
    <w:tmpl w:val="774CFE14"/>
    <w:lvl w:ilvl="0" w:tplc="0C09000D">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F429A0"/>
    <w:multiLevelType w:val="hybridMultilevel"/>
    <w:tmpl w:val="1A1282D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9E1E0F"/>
    <w:multiLevelType w:val="hybridMultilevel"/>
    <w:tmpl w:val="CFA80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8BB4FD0"/>
    <w:multiLevelType w:val="hybridMultilevel"/>
    <w:tmpl w:val="49025D34"/>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4D7EB6"/>
    <w:multiLevelType w:val="hybridMultilevel"/>
    <w:tmpl w:val="B7F827D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B323F4"/>
    <w:multiLevelType w:val="hybridMultilevel"/>
    <w:tmpl w:val="C89ED96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C71B7B"/>
    <w:multiLevelType w:val="hybridMultilevel"/>
    <w:tmpl w:val="C492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FB37FD"/>
    <w:multiLevelType w:val="hybridMultilevel"/>
    <w:tmpl w:val="EFAC63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5E5B48"/>
    <w:multiLevelType w:val="hybridMultilevel"/>
    <w:tmpl w:val="29EA5FC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7850E3"/>
    <w:multiLevelType w:val="hybridMultilevel"/>
    <w:tmpl w:val="7E70EF8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6F5640"/>
    <w:multiLevelType w:val="hybridMultilevel"/>
    <w:tmpl w:val="B1742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EE5124"/>
    <w:multiLevelType w:val="hybridMultilevel"/>
    <w:tmpl w:val="07B2986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A8824AE"/>
    <w:multiLevelType w:val="hybridMultilevel"/>
    <w:tmpl w:val="5A165C3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0F93E7E"/>
    <w:multiLevelType w:val="hybridMultilevel"/>
    <w:tmpl w:val="35FEB83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7152CEB"/>
    <w:multiLevelType w:val="multilevel"/>
    <w:tmpl w:val="C78E1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7641AE"/>
    <w:multiLevelType w:val="hybridMultilevel"/>
    <w:tmpl w:val="34D64E1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94D3F62"/>
    <w:multiLevelType w:val="multilevel"/>
    <w:tmpl w:val="D7AA4316"/>
    <w:lvl w:ilvl="0">
      <w:start w:val="1"/>
      <w:numFmt w:val="bullet"/>
      <w:lvlText w:val=""/>
      <w:lvlJc w:val="left"/>
      <w:pPr>
        <w:ind w:left="284" w:hanging="284"/>
      </w:pPr>
      <w:rPr>
        <w:rFonts w:ascii="Symbol" w:hAnsi="Symbol" w:hint="default"/>
      </w:rPr>
    </w:lvl>
    <w:lvl w:ilvl="1">
      <w:start w:val="1"/>
      <w:numFmt w:val="bullet"/>
      <w:lvlText w:val="o"/>
      <w:lvlJc w:val="left"/>
      <w:pPr>
        <w:ind w:left="644" w:hanging="360"/>
      </w:pPr>
      <w:rPr>
        <w:rFonts w:ascii="Courier New" w:hAnsi="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7A99144E"/>
    <w:multiLevelType w:val="hybridMultilevel"/>
    <w:tmpl w:val="5C02465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C4707A"/>
    <w:multiLevelType w:val="hybridMultilevel"/>
    <w:tmpl w:val="84F8C3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39394738">
    <w:abstractNumId w:val="21"/>
  </w:num>
  <w:num w:numId="2" w16cid:durableId="1578514703">
    <w:abstractNumId w:val="18"/>
  </w:num>
  <w:num w:numId="3" w16cid:durableId="1448086951">
    <w:abstractNumId w:val="32"/>
  </w:num>
  <w:num w:numId="4" w16cid:durableId="1799374168">
    <w:abstractNumId w:val="41"/>
  </w:num>
  <w:num w:numId="5" w16cid:durableId="1441796618">
    <w:abstractNumId w:val="35"/>
  </w:num>
  <w:num w:numId="6" w16cid:durableId="1564484844">
    <w:abstractNumId w:val="29"/>
  </w:num>
  <w:num w:numId="7" w16cid:durableId="1170103054">
    <w:abstractNumId w:val="6"/>
  </w:num>
  <w:num w:numId="8" w16cid:durableId="55052254">
    <w:abstractNumId w:val="30"/>
  </w:num>
  <w:num w:numId="9" w16cid:durableId="1568220117">
    <w:abstractNumId w:val="14"/>
  </w:num>
  <w:num w:numId="10" w16cid:durableId="1076976920">
    <w:abstractNumId w:val="16"/>
  </w:num>
  <w:num w:numId="11" w16cid:durableId="2116098186">
    <w:abstractNumId w:val="5"/>
  </w:num>
  <w:num w:numId="12" w16cid:durableId="336687804">
    <w:abstractNumId w:val="25"/>
  </w:num>
  <w:num w:numId="13" w16cid:durableId="1841845234">
    <w:abstractNumId w:val="11"/>
  </w:num>
  <w:num w:numId="14" w16cid:durableId="1157497244">
    <w:abstractNumId w:val="39"/>
  </w:num>
  <w:num w:numId="15" w16cid:durableId="603195903">
    <w:abstractNumId w:val="37"/>
  </w:num>
  <w:num w:numId="16" w16cid:durableId="193926337">
    <w:abstractNumId w:val="36"/>
  </w:num>
  <w:num w:numId="17" w16cid:durableId="682976131">
    <w:abstractNumId w:val="31"/>
  </w:num>
  <w:num w:numId="18" w16cid:durableId="1970083489">
    <w:abstractNumId w:val="24"/>
  </w:num>
  <w:num w:numId="19" w16cid:durableId="25719997">
    <w:abstractNumId w:val="22"/>
  </w:num>
  <w:num w:numId="20" w16cid:durableId="1811745692">
    <w:abstractNumId w:val="8"/>
  </w:num>
  <w:num w:numId="21" w16cid:durableId="2043364436">
    <w:abstractNumId w:val="4"/>
  </w:num>
  <w:num w:numId="22" w16cid:durableId="246572263">
    <w:abstractNumId w:val="20"/>
  </w:num>
  <w:num w:numId="23" w16cid:durableId="1069576224">
    <w:abstractNumId w:val="28"/>
  </w:num>
  <w:num w:numId="24" w16cid:durableId="72090955">
    <w:abstractNumId w:val="10"/>
  </w:num>
  <w:num w:numId="25" w16cid:durableId="1718579971">
    <w:abstractNumId w:val="38"/>
  </w:num>
  <w:num w:numId="26" w16cid:durableId="1682512579">
    <w:abstractNumId w:val="19"/>
  </w:num>
  <w:num w:numId="27" w16cid:durableId="303849211">
    <w:abstractNumId w:val="3"/>
  </w:num>
  <w:num w:numId="28" w16cid:durableId="564338125">
    <w:abstractNumId w:val="0"/>
  </w:num>
  <w:num w:numId="29" w16cid:durableId="713971463">
    <w:abstractNumId w:val="40"/>
  </w:num>
  <w:num w:numId="30" w16cid:durableId="1457793875">
    <w:abstractNumId w:val="17"/>
  </w:num>
  <w:num w:numId="31" w16cid:durableId="1788616771">
    <w:abstractNumId w:val="26"/>
  </w:num>
  <w:num w:numId="32" w16cid:durableId="1423333824">
    <w:abstractNumId w:val="27"/>
  </w:num>
  <w:num w:numId="33" w16cid:durableId="1899243701">
    <w:abstractNumId w:val="23"/>
  </w:num>
  <w:num w:numId="34" w16cid:durableId="1031298365">
    <w:abstractNumId w:val="9"/>
  </w:num>
  <w:num w:numId="35" w16cid:durableId="526719841">
    <w:abstractNumId w:val="34"/>
  </w:num>
  <w:num w:numId="36" w16cid:durableId="916940022">
    <w:abstractNumId w:val="2"/>
  </w:num>
  <w:num w:numId="37" w16cid:durableId="1001737524">
    <w:abstractNumId w:val="7"/>
  </w:num>
  <w:num w:numId="38" w16cid:durableId="388723941">
    <w:abstractNumId w:val="12"/>
  </w:num>
  <w:num w:numId="39" w16cid:durableId="493573708">
    <w:abstractNumId w:val="33"/>
  </w:num>
  <w:num w:numId="40" w16cid:durableId="674966075">
    <w:abstractNumId w:val="15"/>
  </w:num>
  <w:num w:numId="41" w16cid:durableId="455568536">
    <w:abstractNumId w:val="1"/>
  </w:num>
  <w:num w:numId="42" w16cid:durableId="815804232">
    <w:abstractNumId w:val="21"/>
  </w:num>
  <w:num w:numId="43" w16cid:durableId="320890506">
    <w:abstractNumId w:val="21"/>
  </w:num>
  <w:num w:numId="44" w16cid:durableId="71972339">
    <w:abstractNumId w:val="21"/>
  </w:num>
  <w:num w:numId="45" w16cid:durableId="2008046054">
    <w:abstractNumId w:val="21"/>
  </w:num>
  <w:num w:numId="46" w16cid:durableId="601302302">
    <w:abstractNumId w:val="13"/>
  </w:num>
  <w:num w:numId="47" w16cid:durableId="53897434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e Farhall (CGEPS)">
    <w15:presenceInfo w15:providerId="AD" w15:userId="S::kate.farhall@genderequalitycommission.vic.gov.au::ab9dfb90-61bd-4df1-8d6b-cb46bdb1d054"/>
  </w15:person>
  <w15:person w15:author="Kathryn Smith (CGEPS)">
    <w15:presenceInfo w15:providerId="AD" w15:userId="S::Kathryn.Smith@genderequalitycommission.vic.gov.au::4509268f-a879-465c-abda-f3a22cc18a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4C"/>
    <w:rsid w:val="000019E3"/>
    <w:rsid w:val="00023552"/>
    <w:rsid w:val="000504B1"/>
    <w:rsid w:val="000534DF"/>
    <w:rsid w:val="000552D9"/>
    <w:rsid w:val="00055DB8"/>
    <w:rsid w:val="000619C7"/>
    <w:rsid w:val="000708DE"/>
    <w:rsid w:val="00070A70"/>
    <w:rsid w:val="00091ECE"/>
    <w:rsid w:val="000A7B11"/>
    <w:rsid w:val="000B1507"/>
    <w:rsid w:val="000D064D"/>
    <w:rsid w:val="000D1092"/>
    <w:rsid w:val="000D46D0"/>
    <w:rsid w:val="000D4763"/>
    <w:rsid w:val="000E100D"/>
    <w:rsid w:val="000E427B"/>
    <w:rsid w:val="000F7B56"/>
    <w:rsid w:val="001028C6"/>
    <w:rsid w:val="00102CE2"/>
    <w:rsid w:val="00107673"/>
    <w:rsid w:val="00115745"/>
    <w:rsid w:val="00134DF9"/>
    <w:rsid w:val="001448F0"/>
    <w:rsid w:val="0016271E"/>
    <w:rsid w:val="0017087D"/>
    <w:rsid w:val="00191440"/>
    <w:rsid w:val="00196E57"/>
    <w:rsid w:val="00197026"/>
    <w:rsid w:val="001A0441"/>
    <w:rsid w:val="001B092E"/>
    <w:rsid w:val="001B6FAB"/>
    <w:rsid w:val="001C2B8E"/>
    <w:rsid w:val="001E0A84"/>
    <w:rsid w:val="001E21E2"/>
    <w:rsid w:val="001E660A"/>
    <w:rsid w:val="001E71AD"/>
    <w:rsid w:val="001F7492"/>
    <w:rsid w:val="00201B01"/>
    <w:rsid w:val="00205910"/>
    <w:rsid w:val="00206C05"/>
    <w:rsid w:val="0021644B"/>
    <w:rsid w:val="00231AE0"/>
    <w:rsid w:val="00247C9E"/>
    <w:rsid w:val="00252DD1"/>
    <w:rsid w:val="00260B2F"/>
    <w:rsid w:val="0026791F"/>
    <w:rsid w:val="00271A78"/>
    <w:rsid w:val="00284031"/>
    <w:rsid w:val="00296F07"/>
    <w:rsid w:val="002A04FD"/>
    <w:rsid w:val="002B1940"/>
    <w:rsid w:val="002C1B57"/>
    <w:rsid w:val="002C247F"/>
    <w:rsid w:val="002D147C"/>
    <w:rsid w:val="002D1D37"/>
    <w:rsid w:val="002D79DC"/>
    <w:rsid w:val="002E65B0"/>
    <w:rsid w:val="002E6DF1"/>
    <w:rsid w:val="002F3095"/>
    <w:rsid w:val="003070B7"/>
    <w:rsid w:val="0031674E"/>
    <w:rsid w:val="003614FA"/>
    <w:rsid w:val="00361E62"/>
    <w:rsid w:val="00364CF3"/>
    <w:rsid w:val="003654D2"/>
    <w:rsid w:val="00365895"/>
    <w:rsid w:val="0036762E"/>
    <w:rsid w:val="003711D8"/>
    <w:rsid w:val="0038671A"/>
    <w:rsid w:val="00386AC7"/>
    <w:rsid w:val="003939B2"/>
    <w:rsid w:val="003C3DA1"/>
    <w:rsid w:val="003D1062"/>
    <w:rsid w:val="00411B28"/>
    <w:rsid w:val="00411B8E"/>
    <w:rsid w:val="00425F47"/>
    <w:rsid w:val="0043000C"/>
    <w:rsid w:val="004316A9"/>
    <w:rsid w:val="00450437"/>
    <w:rsid w:val="00451FFA"/>
    <w:rsid w:val="004557C6"/>
    <w:rsid w:val="004731CF"/>
    <w:rsid w:val="00483492"/>
    <w:rsid w:val="004A37D2"/>
    <w:rsid w:val="004A58F4"/>
    <w:rsid w:val="004B171C"/>
    <w:rsid w:val="004B5217"/>
    <w:rsid w:val="004B693A"/>
    <w:rsid w:val="004C2DCD"/>
    <w:rsid w:val="004E7C1C"/>
    <w:rsid w:val="004F2F41"/>
    <w:rsid w:val="004F7D9E"/>
    <w:rsid w:val="00501DEB"/>
    <w:rsid w:val="00520F21"/>
    <w:rsid w:val="00526864"/>
    <w:rsid w:val="005322BA"/>
    <w:rsid w:val="00543B23"/>
    <w:rsid w:val="00562C49"/>
    <w:rsid w:val="00566D17"/>
    <w:rsid w:val="005720F8"/>
    <w:rsid w:val="00592809"/>
    <w:rsid w:val="00592813"/>
    <w:rsid w:val="005A72E9"/>
    <w:rsid w:val="005A75C3"/>
    <w:rsid w:val="005C7089"/>
    <w:rsid w:val="005E37AA"/>
    <w:rsid w:val="005E6DDC"/>
    <w:rsid w:val="005F48A9"/>
    <w:rsid w:val="00605123"/>
    <w:rsid w:val="0060570A"/>
    <w:rsid w:val="006106B4"/>
    <w:rsid w:val="006210A3"/>
    <w:rsid w:val="00625762"/>
    <w:rsid w:val="006357B0"/>
    <w:rsid w:val="006415E6"/>
    <w:rsid w:val="00651E7A"/>
    <w:rsid w:val="00656931"/>
    <w:rsid w:val="00665D23"/>
    <w:rsid w:val="0067124C"/>
    <w:rsid w:val="00682EEB"/>
    <w:rsid w:val="0068346C"/>
    <w:rsid w:val="00690E70"/>
    <w:rsid w:val="0069127F"/>
    <w:rsid w:val="00694B56"/>
    <w:rsid w:val="00696539"/>
    <w:rsid w:val="006A1D53"/>
    <w:rsid w:val="006A2D4D"/>
    <w:rsid w:val="006A6B72"/>
    <w:rsid w:val="006A7BC5"/>
    <w:rsid w:val="006B626C"/>
    <w:rsid w:val="006B653F"/>
    <w:rsid w:val="006B7D76"/>
    <w:rsid w:val="006C749C"/>
    <w:rsid w:val="006D13E1"/>
    <w:rsid w:val="006E20A4"/>
    <w:rsid w:val="006E2A4A"/>
    <w:rsid w:val="006E5DCE"/>
    <w:rsid w:val="006F0945"/>
    <w:rsid w:val="006F2308"/>
    <w:rsid w:val="006F5BFA"/>
    <w:rsid w:val="006F7514"/>
    <w:rsid w:val="00735FBE"/>
    <w:rsid w:val="0073789E"/>
    <w:rsid w:val="00742E82"/>
    <w:rsid w:val="0074608C"/>
    <w:rsid w:val="00753962"/>
    <w:rsid w:val="00754861"/>
    <w:rsid w:val="0075705B"/>
    <w:rsid w:val="00771F99"/>
    <w:rsid w:val="007901B3"/>
    <w:rsid w:val="007921ED"/>
    <w:rsid w:val="007A46C1"/>
    <w:rsid w:val="007A4821"/>
    <w:rsid w:val="007B6124"/>
    <w:rsid w:val="007B6A4B"/>
    <w:rsid w:val="007C3254"/>
    <w:rsid w:val="007C457B"/>
    <w:rsid w:val="007C7AF7"/>
    <w:rsid w:val="007D1487"/>
    <w:rsid w:val="007D6472"/>
    <w:rsid w:val="007F0784"/>
    <w:rsid w:val="007F6E03"/>
    <w:rsid w:val="00810D15"/>
    <w:rsid w:val="00815453"/>
    <w:rsid w:val="008200EA"/>
    <w:rsid w:val="00824B83"/>
    <w:rsid w:val="00826F63"/>
    <w:rsid w:val="0082711F"/>
    <w:rsid w:val="008722A3"/>
    <w:rsid w:val="008817BB"/>
    <w:rsid w:val="00890BA2"/>
    <w:rsid w:val="00893643"/>
    <w:rsid w:val="008955C4"/>
    <w:rsid w:val="00895915"/>
    <w:rsid w:val="00897A80"/>
    <w:rsid w:val="00897DEF"/>
    <w:rsid w:val="008A1850"/>
    <w:rsid w:val="008B0466"/>
    <w:rsid w:val="008B66E1"/>
    <w:rsid w:val="008B69FE"/>
    <w:rsid w:val="008D029D"/>
    <w:rsid w:val="008D3041"/>
    <w:rsid w:val="008E08A0"/>
    <w:rsid w:val="008E116A"/>
    <w:rsid w:val="008F5397"/>
    <w:rsid w:val="00921B78"/>
    <w:rsid w:val="00923573"/>
    <w:rsid w:val="00946DA3"/>
    <w:rsid w:val="00950B35"/>
    <w:rsid w:val="009607FC"/>
    <w:rsid w:val="0097299C"/>
    <w:rsid w:val="0097511A"/>
    <w:rsid w:val="009759D2"/>
    <w:rsid w:val="00981223"/>
    <w:rsid w:val="0099002C"/>
    <w:rsid w:val="00995A13"/>
    <w:rsid w:val="00996820"/>
    <w:rsid w:val="009A2C1C"/>
    <w:rsid w:val="009A3CA8"/>
    <w:rsid w:val="009B3CC5"/>
    <w:rsid w:val="009B543E"/>
    <w:rsid w:val="009C09E4"/>
    <w:rsid w:val="009C4254"/>
    <w:rsid w:val="009D2181"/>
    <w:rsid w:val="009D6FB9"/>
    <w:rsid w:val="009E3008"/>
    <w:rsid w:val="009E41F2"/>
    <w:rsid w:val="009F02F5"/>
    <w:rsid w:val="00A0312C"/>
    <w:rsid w:val="00A16C1B"/>
    <w:rsid w:val="00A25CDB"/>
    <w:rsid w:val="00A368C8"/>
    <w:rsid w:val="00A431C6"/>
    <w:rsid w:val="00A57F57"/>
    <w:rsid w:val="00A67C3C"/>
    <w:rsid w:val="00A74B25"/>
    <w:rsid w:val="00A74D2F"/>
    <w:rsid w:val="00A8191B"/>
    <w:rsid w:val="00A81BB3"/>
    <w:rsid w:val="00A85057"/>
    <w:rsid w:val="00A93B4F"/>
    <w:rsid w:val="00A95F16"/>
    <w:rsid w:val="00A964EC"/>
    <w:rsid w:val="00A9650D"/>
    <w:rsid w:val="00AA3802"/>
    <w:rsid w:val="00AA6898"/>
    <w:rsid w:val="00AB36ED"/>
    <w:rsid w:val="00AC7810"/>
    <w:rsid w:val="00AD33D6"/>
    <w:rsid w:val="00B01393"/>
    <w:rsid w:val="00B02D38"/>
    <w:rsid w:val="00B07784"/>
    <w:rsid w:val="00B26E10"/>
    <w:rsid w:val="00B33978"/>
    <w:rsid w:val="00B377C9"/>
    <w:rsid w:val="00B45F06"/>
    <w:rsid w:val="00B461BD"/>
    <w:rsid w:val="00B51870"/>
    <w:rsid w:val="00B70691"/>
    <w:rsid w:val="00B7386B"/>
    <w:rsid w:val="00B74473"/>
    <w:rsid w:val="00B74C4E"/>
    <w:rsid w:val="00B779B8"/>
    <w:rsid w:val="00BA425E"/>
    <w:rsid w:val="00BB71C0"/>
    <w:rsid w:val="00BB7878"/>
    <w:rsid w:val="00BC1D03"/>
    <w:rsid w:val="00BC5BC9"/>
    <w:rsid w:val="00BC7AD1"/>
    <w:rsid w:val="00BD1073"/>
    <w:rsid w:val="00BD3F2C"/>
    <w:rsid w:val="00BE5D6B"/>
    <w:rsid w:val="00C16498"/>
    <w:rsid w:val="00C2734D"/>
    <w:rsid w:val="00C347CB"/>
    <w:rsid w:val="00C616BE"/>
    <w:rsid w:val="00C76EB4"/>
    <w:rsid w:val="00C94D98"/>
    <w:rsid w:val="00C95018"/>
    <w:rsid w:val="00CC009D"/>
    <w:rsid w:val="00CD0348"/>
    <w:rsid w:val="00CD3304"/>
    <w:rsid w:val="00CD4103"/>
    <w:rsid w:val="00CD71F2"/>
    <w:rsid w:val="00CD78AF"/>
    <w:rsid w:val="00D123AC"/>
    <w:rsid w:val="00D31A67"/>
    <w:rsid w:val="00D31D0A"/>
    <w:rsid w:val="00D33A5F"/>
    <w:rsid w:val="00D36909"/>
    <w:rsid w:val="00D60C10"/>
    <w:rsid w:val="00D612CF"/>
    <w:rsid w:val="00D6747C"/>
    <w:rsid w:val="00D87D15"/>
    <w:rsid w:val="00D915A3"/>
    <w:rsid w:val="00DA038B"/>
    <w:rsid w:val="00DB7B01"/>
    <w:rsid w:val="00DC29BE"/>
    <w:rsid w:val="00DC4755"/>
    <w:rsid w:val="00DD3549"/>
    <w:rsid w:val="00DD66C8"/>
    <w:rsid w:val="00DF3E68"/>
    <w:rsid w:val="00E1547D"/>
    <w:rsid w:val="00E17208"/>
    <w:rsid w:val="00E21753"/>
    <w:rsid w:val="00E32792"/>
    <w:rsid w:val="00E337D6"/>
    <w:rsid w:val="00E347FA"/>
    <w:rsid w:val="00E467CC"/>
    <w:rsid w:val="00E55E8E"/>
    <w:rsid w:val="00E60C8B"/>
    <w:rsid w:val="00E72787"/>
    <w:rsid w:val="00E73D1E"/>
    <w:rsid w:val="00E92A6E"/>
    <w:rsid w:val="00E94C70"/>
    <w:rsid w:val="00E957BD"/>
    <w:rsid w:val="00EA4659"/>
    <w:rsid w:val="00EB396E"/>
    <w:rsid w:val="00ED5A75"/>
    <w:rsid w:val="00EE041E"/>
    <w:rsid w:val="00EE0636"/>
    <w:rsid w:val="00EE2705"/>
    <w:rsid w:val="00EE4AD9"/>
    <w:rsid w:val="00EF2AEC"/>
    <w:rsid w:val="00F0773B"/>
    <w:rsid w:val="00F101E3"/>
    <w:rsid w:val="00F10659"/>
    <w:rsid w:val="00F32CF8"/>
    <w:rsid w:val="00F36643"/>
    <w:rsid w:val="00F40C63"/>
    <w:rsid w:val="00F42742"/>
    <w:rsid w:val="00F538C8"/>
    <w:rsid w:val="00F62EB1"/>
    <w:rsid w:val="00F768D4"/>
    <w:rsid w:val="00FA07C5"/>
    <w:rsid w:val="00FA3BBF"/>
    <w:rsid w:val="00FB2F42"/>
    <w:rsid w:val="00FD2260"/>
    <w:rsid w:val="00FE5584"/>
    <w:rsid w:val="00FE56DE"/>
    <w:rsid w:val="04CA185D"/>
    <w:rsid w:val="102A01D0"/>
    <w:rsid w:val="19D5C13D"/>
    <w:rsid w:val="2274BCC6"/>
    <w:rsid w:val="23DE1E96"/>
    <w:rsid w:val="25445038"/>
    <w:rsid w:val="291ED5D6"/>
    <w:rsid w:val="31BA3635"/>
    <w:rsid w:val="334CCBC8"/>
    <w:rsid w:val="432E1C71"/>
    <w:rsid w:val="4E38BCA7"/>
    <w:rsid w:val="53AA828B"/>
    <w:rsid w:val="55A3E1AC"/>
    <w:rsid w:val="568F4D3A"/>
    <w:rsid w:val="6206FB94"/>
    <w:rsid w:val="62F0B962"/>
    <w:rsid w:val="6950119B"/>
    <w:rsid w:val="6E6B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DC923"/>
  <w15:chartTrackingRefBased/>
  <w15:docId w15:val="{282E746B-45DD-4D41-B0A8-98CF6030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A9"/>
    <w:rPr>
      <w:rFonts w:ascii="VIC" w:hAnsi="VIC"/>
    </w:rPr>
  </w:style>
  <w:style w:type="paragraph" w:styleId="Heading1">
    <w:name w:val="heading 1"/>
    <w:basedOn w:val="Normal"/>
    <w:next w:val="Normal"/>
    <w:link w:val="Heading1Char"/>
    <w:uiPriority w:val="9"/>
    <w:qFormat/>
    <w:rsid w:val="00296F07"/>
    <w:pPr>
      <w:keepNext/>
      <w:keepLines/>
      <w:spacing w:before="240" w:after="0"/>
      <w:outlineLvl w:val="0"/>
    </w:pPr>
    <w:rPr>
      <w:rFonts w:ascii="Arial" w:eastAsiaTheme="majorEastAsia" w:hAnsi="Arial" w:cstheme="majorBidi"/>
      <w:color w:val="5C308D"/>
      <w:sz w:val="48"/>
      <w:szCs w:val="32"/>
    </w:rPr>
  </w:style>
  <w:style w:type="paragraph" w:styleId="Heading2">
    <w:name w:val="heading 2"/>
    <w:basedOn w:val="Normal"/>
    <w:next w:val="Normal"/>
    <w:link w:val="Heading2Char"/>
    <w:uiPriority w:val="9"/>
    <w:unhideWhenUsed/>
    <w:qFormat/>
    <w:rsid w:val="00BD3F2C"/>
    <w:pPr>
      <w:keepNext/>
      <w:keepLines/>
      <w:spacing w:before="200" w:after="120"/>
      <w:outlineLvl w:val="1"/>
    </w:pPr>
    <w:rPr>
      <w:rFonts w:ascii="Arial" w:eastAsiaTheme="majorEastAsia" w:hAnsi="Arial" w:cstheme="majorBidi"/>
      <w:color w:val="5C308D"/>
      <w:sz w:val="36"/>
      <w:szCs w:val="26"/>
    </w:rPr>
  </w:style>
  <w:style w:type="paragraph" w:styleId="Heading3">
    <w:name w:val="heading 3"/>
    <w:basedOn w:val="Normal"/>
    <w:next w:val="Normal"/>
    <w:link w:val="Heading3Char"/>
    <w:uiPriority w:val="9"/>
    <w:unhideWhenUsed/>
    <w:qFormat/>
    <w:rsid w:val="00895915"/>
    <w:pPr>
      <w:keepNext/>
      <w:keepLines/>
      <w:spacing w:before="160" w:after="120"/>
      <w:outlineLvl w:val="2"/>
    </w:pPr>
    <w:rPr>
      <w:rFonts w:ascii="Arial" w:eastAsiaTheme="majorEastAsia" w:hAnsi="Arial" w:cstheme="minorHAnsi"/>
      <w:color w:val="5C308D"/>
      <w:sz w:val="28"/>
      <w:szCs w:val="24"/>
    </w:rPr>
  </w:style>
  <w:style w:type="paragraph" w:styleId="Heading4">
    <w:name w:val="heading 4"/>
    <w:basedOn w:val="Normal"/>
    <w:next w:val="Normal"/>
    <w:link w:val="Heading4Char"/>
    <w:uiPriority w:val="9"/>
    <w:unhideWhenUsed/>
    <w:qFormat/>
    <w:rsid w:val="00895915"/>
    <w:pPr>
      <w:keepNext/>
      <w:keepLines/>
      <w:spacing w:before="120" w:after="120"/>
      <w:outlineLvl w:val="3"/>
    </w:pPr>
    <w:rPr>
      <w:rFonts w:ascii="Arial" w:eastAsiaTheme="majorEastAsia" w:hAnsi="Arial" w:cstheme="majorBidi"/>
      <w:b/>
      <w:iCs/>
      <w:color w:val="5C308D"/>
    </w:rPr>
  </w:style>
  <w:style w:type="paragraph" w:styleId="Heading5">
    <w:name w:val="heading 5"/>
    <w:basedOn w:val="Normal"/>
    <w:next w:val="Normal"/>
    <w:link w:val="Heading5Char"/>
    <w:uiPriority w:val="9"/>
    <w:unhideWhenUsed/>
    <w:qFormat/>
    <w:rsid w:val="00A964E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712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F07"/>
    <w:rPr>
      <w:rFonts w:ascii="Arial" w:eastAsiaTheme="majorEastAsia" w:hAnsi="Arial" w:cstheme="majorBidi"/>
      <w:color w:val="5C308D"/>
      <w:sz w:val="48"/>
      <w:szCs w:val="32"/>
    </w:rPr>
  </w:style>
  <w:style w:type="character" w:customStyle="1" w:styleId="Heading2Char">
    <w:name w:val="Heading 2 Char"/>
    <w:basedOn w:val="DefaultParagraphFont"/>
    <w:link w:val="Heading2"/>
    <w:uiPriority w:val="9"/>
    <w:rsid w:val="00BD3F2C"/>
    <w:rPr>
      <w:rFonts w:ascii="Arial" w:eastAsiaTheme="majorEastAsia" w:hAnsi="Arial" w:cstheme="majorBidi"/>
      <w:color w:val="5C308D"/>
      <w:sz w:val="36"/>
      <w:szCs w:val="26"/>
    </w:rPr>
  </w:style>
  <w:style w:type="character" w:styleId="IntenseEmphasis">
    <w:name w:val="Intense Emphasis"/>
    <w:basedOn w:val="DefaultParagraphFont"/>
    <w:uiPriority w:val="21"/>
    <w:qFormat/>
    <w:rsid w:val="004316A9"/>
    <w:rPr>
      <w:rFonts w:ascii="VIC" w:hAnsi="VIC"/>
      <w:i/>
      <w:iCs/>
      <w:color w:val="287E84"/>
    </w:rPr>
  </w:style>
  <w:style w:type="paragraph" w:styleId="IntenseQuote">
    <w:name w:val="Intense Quote"/>
    <w:aliases w:val="Callout box Jade"/>
    <w:basedOn w:val="Normal"/>
    <w:next w:val="Normal"/>
    <w:link w:val="IntenseQuoteChar"/>
    <w:autoRedefine/>
    <w:uiPriority w:val="30"/>
    <w:qFormat/>
    <w:rsid w:val="007D1487"/>
    <w:pPr>
      <w:framePr w:wrap="notBeside" w:vAnchor="text" w:hAnchor="text" w:y="1"/>
      <w:pBdr>
        <w:top w:val="single" w:sz="12" w:space="10" w:color="287E84"/>
        <w:left w:val="single" w:sz="12" w:space="4" w:color="287E84"/>
        <w:bottom w:val="single" w:sz="12" w:space="10" w:color="287E84"/>
        <w:right w:val="single" w:sz="12" w:space="4" w:color="287E84"/>
      </w:pBdr>
      <w:spacing w:before="240" w:after="240" w:line="240" w:lineRule="auto"/>
      <w:ind w:left="510" w:right="510"/>
      <w:contextualSpacing/>
    </w:pPr>
    <w:rPr>
      <w:iCs/>
      <w:color w:val="287E84"/>
    </w:rPr>
  </w:style>
  <w:style w:type="character" w:customStyle="1" w:styleId="IntenseQuoteChar">
    <w:name w:val="Intense Quote Char"/>
    <w:aliases w:val="Callout box Jade Char"/>
    <w:basedOn w:val="DefaultParagraphFont"/>
    <w:link w:val="IntenseQuote"/>
    <w:uiPriority w:val="30"/>
    <w:rsid w:val="007D1487"/>
    <w:rPr>
      <w:rFonts w:ascii="VIC" w:hAnsi="VIC"/>
      <w:iCs/>
      <w:color w:val="287E84"/>
    </w:rPr>
  </w:style>
  <w:style w:type="character" w:styleId="IntenseReference">
    <w:name w:val="Intense Reference"/>
    <w:basedOn w:val="DefaultParagraphFont"/>
    <w:uiPriority w:val="32"/>
    <w:qFormat/>
    <w:rsid w:val="004316A9"/>
    <w:rPr>
      <w:rFonts w:ascii="VIC" w:hAnsi="VIC"/>
      <w:b/>
      <w:bCs/>
      <w:smallCaps/>
      <w:color w:val="287E84"/>
      <w:spacing w:val="5"/>
    </w:rPr>
  </w:style>
  <w:style w:type="paragraph" w:styleId="Title">
    <w:name w:val="Title"/>
    <w:basedOn w:val="Normal"/>
    <w:next w:val="Normal"/>
    <w:link w:val="TitleChar"/>
    <w:uiPriority w:val="10"/>
    <w:qFormat/>
    <w:rsid w:val="004316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6A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4316A9"/>
    <w:rPr>
      <w:rFonts w:ascii="VIC" w:hAnsi="VIC"/>
      <w:i/>
      <w:iCs/>
      <w:color w:val="404040" w:themeColor="text1" w:themeTint="BF"/>
    </w:rPr>
  </w:style>
  <w:style w:type="character" w:styleId="Emphasis">
    <w:name w:val="Emphasis"/>
    <w:basedOn w:val="DefaultParagraphFont"/>
    <w:uiPriority w:val="20"/>
    <w:qFormat/>
    <w:rsid w:val="004316A9"/>
    <w:rPr>
      <w:rFonts w:ascii="VIC" w:hAnsi="VIC"/>
      <w:i/>
      <w:iCs/>
    </w:rPr>
  </w:style>
  <w:style w:type="character" w:styleId="Strong">
    <w:name w:val="Strong"/>
    <w:basedOn w:val="DefaultParagraphFont"/>
    <w:uiPriority w:val="22"/>
    <w:qFormat/>
    <w:rsid w:val="000D4763"/>
    <w:rPr>
      <w:b/>
      <w:bCs/>
    </w:rPr>
  </w:style>
  <w:style w:type="character" w:styleId="SubtleReference">
    <w:name w:val="Subtle Reference"/>
    <w:basedOn w:val="DefaultParagraphFont"/>
    <w:uiPriority w:val="31"/>
    <w:qFormat/>
    <w:rsid w:val="004316A9"/>
    <w:rPr>
      <w:rFonts w:ascii="VIC" w:hAnsi="VIC"/>
      <w:smallCaps/>
      <w:color w:val="5A5A5A" w:themeColor="text1" w:themeTint="A5"/>
    </w:rPr>
  </w:style>
  <w:style w:type="character" w:styleId="BookTitle">
    <w:name w:val="Book Title"/>
    <w:basedOn w:val="DefaultParagraphFont"/>
    <w:uiPriority w:val="33"/>
    <w:qFormat/>
    <w:rsid w:val="004316A9"/>
    <w:rPr>
      <w:rFonts w:ascii="VIC" w:hAnsi="VIC"/>
      <w:b/>
      <w:bCs/>
      <w:i/>
      <w:iCs/>
      <w:spacing w:val="5"/>
    </w:rPr>
  </w:style>
  <w:style w:type="character" w:customStyle="1" w:styleId="Heading3Char">
    <w:name w:val="Heading 3 Char"/>
    <w:basedOn w:val="DefaultParagraphFont"/>
    <w:link w:val="Heading3"/>
    <w:uiPriority w:val="9"/>
    <w:rsid w:val="00895915"/>
    <w:rPr>
      <w:rFonts w:ascii="Arial" w:eastAsiaTheme="majorEastAsia" w:hAnsi="Arial" w:cstheme="minorHAnsi"/>
      <w:color w:val="5C308D"/>
      <w:sz w:val="28"/>
      <w:szCs w:val="24"/>
    </w:rPr>
  </w:style>
  <w:style w:type="table" w:styleId="TableGrid">
    <w:name w:val="Table Grid"/>
    <w:basedOn w:val="TableNormal"/>
    <w:rsid w:val="004316A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4316A9"/>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4316A9"/>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4316A9"/>
    <w:pPr>
      <w:spacing w:after="0" w:line="280" w:lineRule="atLeast"/>
    </w:pPr>
    <w:rPr>
      <w:rFonts w:ascii="Arial" w:eastAsia="Times" w:hAnsi="Arial" w:cs="Times New Roman"/>
      <w:b/>
      <w:bCs/>
      <w:color w:val="000000" w:themeColor="text1"/>
      <w:sz w:val="21"/>
      <w:szCs w:val="20"/>
    </w:rPr>
  </w:style>
  <w:style w:type="table" w:styleId="PlainTable4">
    <w:name w:val="Plain Table 4"/>
    <w:basedOn w:val="TableNormal"/>
    <w:uiPriority w:val="44"/>
    <w:rsid w:val="004316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link w:val="HeaderChar"/>
    <w:uiPriority w:val="10"/>
    <w:rsid w:val="00E1547D"/>
    <w:pPr>
      <w:spacing w:after="0" w:line="240" w:lineRule="auto"/>
    </w:pPr>
    <w:rPr>
      <w:rFonts w:ascii="Arial" w:eastAsia="Times New Roman" w:hAnsi="Arial" w:cs="Arial"/>
      <w:b/>
      <w:color w:val="201547"/>
      <w:sz w:val="18"/>
      <w:szCs w:val="18"/>
    </w:rPr>
  </w:style>
  <w:style w:type="character" w:customStyle="1" w:styleId="HeaderChar">
    <w:name w:val="Header Char"/>
    <w:basedOn w:val="DefaultParagraphFont"/>
    <w:link w:val="Header"/>
    <w:uiPriority w:val="10"/>
    <w:rsid w:val="00E1547D"/>
    <w:rPr>
      <w:rFonts w:ascii="Arial" w:eastAsia="Times New Roman" w:hAnsi="Arial" w:cs="Arial"/>
      <w:b/>
      <w:color w:val="201547"/>
      <w:sz w:val="18"/>
      <w:szCs w:val="18"/>
    </w:rPr>
  </w:style>
  <w:style w:type="paragraph" w:styleId="Footer">
    <w:name w:val="footer"/>
    <w:basedOn w:val="Normal"/>
    <w:link w:val="FooterChar"/>
    <w:uiPriority w:val="99"/>
    <w:unhideWhenUsed/>
    <w:rsid w:val="0043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A9"/>
    <w:rPr>
      <w:rFonts w:ascii="VIC" w:hAnsi="VIC"/>
    </w:rPr>
  </w:style>
  <w:style w:type="character" w:customStyle="1" w:styleId="Heading4Char">
    <w:name w:val="Heading 4 Char"/>
    <w:basedOn w:val="DefaultParagraphFont"/>
    <w:link w:val="Heading4"/>
    <w:uiPriority w:val="9"/>
    <w:rsid w:val="00895915"/>
    <w:rPr>
      <w:rFonts w:ascii="Arial" w:eastAsiaTheme="majorEastAsia" w:hAnsi="Arial" w:cstheme="majorBidi"/>
      <w:b/>
      <w:iCs/>
      <w:color w:val="5C308D"/>
    </w:rPr>
  </w:style>
  <w:style w:type="character" w:customStyle="1" w:styleId="Heading5Char">
    <w:name w:val="Heading 5 Char"/>
    <w:basedOn w:val="DefaultParagraphFont"/>
    <w:link w:val="Heading5"/>
    <w:uiPriority w:val="9"/>
    <w:rsid w:val="00A964EC"/>
    <w:rPr>
      <w:rFonts w:asciiTheme="majorHAnsi" w:eastAsiaTheme="majorEastAsia" w:hAnsiTheme="majorHAnsi" w:cstheme="majorBidi"/>
      <w:color w:val="2F5496" w:themeColor="accent1" w:themeShade="BF"/>
    </w:rPr>
  </w:style>
  <w:style w:type="paragraph" w:customStyle="1" w:styleId="Body">
    <w:name w:val="Body"/>
    <w:link w:val="BodyChar"/>
    <w:qFormat/>
    <w:rsid w:val="00BB7878"/>
    <w:pPr>
      <w:spacing w:after="120" w:line="280" w:lineRule="atLeast"/>
    </w:pPr>
    <w:rPr>
      <w:rFonts w:ascii="Arial" w:eastAsia="Times" w:hAnsi="Arial" w:cs="Times New Roman"/>
      <w:sz w:val="21"/>
      <w:szCs w:val="20"/>
    </w:rPr>
  </w:style>
  <w:style w:type="paragraph" w:customStyle="1" w:styleId="Bullet1">
    <w:name w:val="Bullet 1"/>
    <w:basedOn w:val="Body"/>
    <w:link w:val="Bullet1Char"/>
    <w:qFormat/>
    <w:rsid w:val="00BB7878"/>
    <w:pPr>
      <w:numPr>
        <w:numId w:val="45"/>
      </w:numPr>
      <w:spacing w:after="40"/>
    </w:pPr>
  </w:style>
  <w:style w:type="paragraph" w:customStyle="1" w:styleId="Bullet2">
    <w:name w:val="Bullet 2"/>
    <w:basedOn w:val="Body"/>
    <w:uiPriority w:val="2"/>
    <w:qFormat/>
    <w:rsid w:val="00BB7878"/>
    <w:pPr>
      <w:numPr>
        <w:ilvl w:val="1"/>
        <w:numId w:val="45"/>
      </w:numPr>
      <w:spacing w:after="40"/>
    </w:pPr>
  </w:style>
  <w:style w:type="paragraph" w:customStyle="1" w:styleId="Bodyafterbullets">
    <w:name w:val="Body after bullets"/>
    <w:basedOn w:val="Body"/>
    <w:uiPriority w:val="11"/>
    <w:rsid w:val="00BB7878"/>
    <w:pPr>
      <w:spacing w:before="120"/>
    </w:pPr>
  </w:style>
  <w:style w:type="character" w:styleId="Hyperlink">
    <w:name w:val="Hyperlink"/>
    <w:uiPriority w:val="99"/>
    <w:rsid w:val="00FD2260"/>
    <w:rPr>
      <w:color w:val="287E84"/>
      <w:u w:val="dotted"/>
    </w:rPr>
  </w:style>
  <w:style w:type="numbering" w:customStyle="1" w:styleId="ZZBullets">
    <w:name w:val="ZZ Bullets"/>
    <w:rsid w:val="00A964EC"/>
    <w:pPr>
      <w:numPr>
        <w:numId w:val="1"/>
      </w:numPr>
    </w:pPr>
  </w:style>
  <w:style w:type="character" w:customStyle="1" w:styleId="BodyChar">
    <w:name w:val="Body Char"/>
    <w:basedOn w:val="DefaultParagraphFont"/>
    <w:link w:val="Body"/>
    <w:rsid w:val="00BB7878"/>
    <w:rPr>
      <w:rFonts w:ascii="Arial" w:eastAsia="Times" w:hAnsi="Arial" w:cs="Times New Roman"/>
      <w:sz w:val="21"/>
      <w:szCs w:val="20"/>
    </w:rPr>
  </w:style>
  <w:style w:type="character" w:styleId="UnresolvedMention">
    <w:name w:val="Unresolved Mention"/>
    <w:basedOn w:val="DefaultParagraphFont"/>
    <w:uiPriority w:val="99"/>
    <w:unhideWhenUsed/>
    <w:rsid w:val="00A0312C"/>
    <w:rPr>
      <w:color w:val="605E5C"/>
      <w:shd w:val="clear" w:color="auto" w:fill="E1DFDD"/>
    </w:rPr>
  </w:style>
  <w:style w:type="character" w:customStyle="1" w:styleId="Heading6Char">
    <w:name w:val="Heading 6 Char"/>
    <w:basedOn w:val="DefaultParagraphFont"/>
    <w:link w:val="Heading6"/>
    <w:uiPriority w:val="9"/>
    <w:rsid w:val="0067124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67124C"/>
    <w:pPr>
      <w:ind w:left="720"/>
      <w:contextualSpacing/>
    </w:pPr>
  </w:style>
  <w:style w:type="character" w:styleId="CommentReference">
    <w:name w:val="annotation reference"/>
    <w:basedOn w:val="DefaultParagraphFont"/>
    <w:uiPriority w:val="99"/>
    <w:unhideWhenUsed/>
    <w:rsid w:val="0067124C"/>
    <w:rPr>
      <w:sz w:val="16"/>
      <w:szCs w:val="16"/>
    </w:rPr>
  </w:style>
  <w:style w:type="paragraph" w:styleId="CommentText">
    <w:name w:val="annotation text"/>
    <w:basedOn w:val="Normal"/>
    <w:link w:val="CommentTextChar"/>
    <w:uiPriority w:val="99"/>
    <w:unhideWhenUsed/>
    <w:rsid w:val="0067124C"/>
    <w:pPr>
      <w:spacing w:line="240" w:lineRule="auto"/>
    </w:pPr>
    <w:rPr>
      <w:sz w:val="20"/>
      <w:szCs w:val="20"/>
    </w:rPr>
  </w:style>
  <w:style w:type="character" w:customStyle="1" w:styleId="CommentTextChar">
    <w:name w:val="Comment Text Char"/>
    <w:basedOn w:val="DefaultParagraphFont"/>
    <w:link w:val="CommentText"/>
    <w:uiPriority w:val="99"/>
    <w:rsid w:val="0067124C"/>
    <w:rPr>
      <w:rFonts w:ascii="VIC" w:hAnsi="VIC"/>
      <w:sz w:val="20"/>
      <w:szCs w:val="20"/>
    </w:rPr>
  </w:style>
  <w:style w:type="character" w:styleId="Mention">
    <w:name w:val="Mention"/>
    <w:basedOn w:val="DefaultParagraphFont"/>
    <w:uiPriority w:val="99"/>
    <w:unhideWhenUsed/>
    <w:rsid w:val="0067124C"/>
    <w:rPr>
      <w:color w:val="2B579A"/>
      <w:shd w:val="clear" w:color="auto" w:fill="E1DFDD"/>
    </w:rPr>
  </w:style>
  <w:style w:type="paragraph" w:customStyle="1" w:styleId="AmendHeading2">
    <w:name w:val="Amend. Heading 2"/>
    <w:basedOn w:val="Normal"/>
    <w:next w:val="Normal"/>
    <w:rsid w:val="0067124C"/>
    <w:pPr>
      <w:overflowPunct w:val="0"/>
      <w:autoSpaceDE w:val="0"/>
      <w:autoSpaceDN w:val="0"/>
      <w:adjustRightInd w:val="0"/>
      <w:spacing w:before="120" w:after="0" w:line="240" w:lineRule="auto"/>
    </w:pPr>
    <w:rPr>
      <w:rFonts w:ascii="Times New Roman" w:eastAsia="Times New Roman" w:hAnsi="Times New Roman" w:cs="Times New Roman"/>
      <w:sz w:val="24"/>
      <w:szCs w:val="20"/>
    </w:rPr>
  </w:style>
  <w:style w:type="paragraph" w:customStyle="1" w:styleId="paragraph">
    <w:name w:val="paragraph"/>
    <w:basedOn w:val="Normal"/>
    <w:rsid w:val="006712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6712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67124C"/>
    <w:rPr>
      <w:b/>
      <w:bCs/>
    </w:rPr>
  </w:style>
  <w:style w:type="character" w:customStyle="1" w:styleId="CommentSubjectChar">
    <w:name w:val="Comment Subject Char"/>
    <w:basedOn w:val="CommentTextChar"/>
    <w:link w:val="CommentSubject"/>
    <w:uiPriority w:val="99"/>
    <w:semiHidden/>
    <w:rsid w:val="0067124C"/>
    <w:rPr>
      <w:rFonts w:ascii="VIC" w:hAnsi="VIC"/>
      <w:b/>
      <w:bCs/>
      <w:sz w:val="20"/>
      <w:szCs w:val="20"/>
    </w:rPr>
  </w:style>
  <w:style w:type="paragraph" w:customStyle="1" w:styleId="Requiredtableheading">
    <w:name w:val="Required (table heading)"/>
    <w:basedOn w:val="Normal"/>
    <w:link w:val="RequiredtableheadingChar"/>
    <w:qFormat/>
    <w:rsid w:val="0067124C"/>
    <w:pPr>
      <w:spacing w:after="0" w:line="240" w:lineRule="auto"/>
    </w:pPr>
    <w:rPr>
      <w:rFonts w:eastAsia="Times New Roman" w:cs="Times New Roman"/>
      <w:b/>
      <w:bCs/>
      <w:color w:val="5C308D"/>
      <w:sz w:val="20"/>
      <w:szCs w:val="20"/>
      <w:lang w:eastAsia="en-AU"/>
    </w:rPr>
  </w:style>
  <w:style w:type="paragraph" w:customStyle="1" w:styleId="Recommendedtableheading">
    <w:name w:val="Recommended (table heading)"/>
    <w:basedOn w:val="Normal"/>
    <w:link w:val="RecommendedtableheadingChar"/>
    <w:qFormat/>
    <w:rsid w:val="0067124C"/>
    <w:pPr>
      <w:spacing w:after="0" w:line="240" w:lineRule="auto"/>
    </w:pPr>
    <w:rPr>
      <w:rFonts w:eastAsia="Times New Roman" w:cs="Times New Roman"/>
      <w:b/>
      <w:bCs/>
      <w:color w:val="287E84"/>
      <w:sz w:val="20"/>
      <w:szCs w:val="20"/>
      <w:lang w:eastAsia="en-AU"/>
    </w:rPr>
  </w:style>
  <w:style w:type="character" w:customStyle="1" w:styleId="RequiredtableheadingChar">
    <w:name w:val="Required (table heading) Char"/>
    <w:basedOn w:val="DefaultParagraphFont"/>
    <w:link w:val="Requiredtableheading"/>
    <w:rsid w:val="0067124C"/>
    <w:rPr>
      <w:rFonts w:ascii="VIC" w:eastAsia="Times New Roman" w:hAnsi="VIC" w:cs="Times New Roman"/>
      <w:b/>
      <w:bCs/>
      <w:color w:val="5C308D"/>
      <w:sz w:val="20"/>
      <w:szCs w:val="20"/>
      <w:lang w:eastAsia="en-AU"/>
    </w:rPr>
  </w:style>
  <w:style w:type="paragraph" w:styleId="Revision">
    <w:name w:val="Revision"/>
    <w:hidden/>
    <w:uiPriority w:val="99"/>
    <w:semiHidden/>
    <w:rsid w:val="0067124C"/>
    <w:pPr>
      <w:spacing w:after="0" w:line="240" w:lineRule="auto"/>
    </w:pPr>
    <w:rPr>
      <w:rFonts w:ascii="VIC" w:hAnsi="VIC"/>
    </w:rPr>
  </w:style>
  <w:style w:type="character" w:customStyle="1" w:styleId="RecommendedtableheadingChar">
    <w:name w:val="Recommended (table heading) Char"/>
    <w:basedOn w:val="DefaultParagraphFont"/>
    <w:link w:val="Recommendedtableheading"/>
    <w:rsid w:val="0067124C"/>
    <w:rPr>
      <w:rFonts w:ascii="VIC" w:eastAsia="Times New Roman" w:hAnsi="VIC" w:cs="Times New Roman"/>
      <w:b/>
      <w:bCs/>
      <w:color w:val="287E84"/>
      <w:sz w:val="20"/>
      <w:szCs w:val="20"/>
      <w:lang w:eastAsia="en-AU"/>
    </w:rPr>
  </w:style>
  <w:style w:type="paragraph" w:customStyle="1" w:styleId="Requirement">
    <w:name w:val="Requirement"/>
    <w:basedOn w:val="Heading3"/>
    <w:link w:val="RequirementChar"/>
    <w:qFormat/>
    <w:rsid w:val="0067124C"/>
  </w:style>
  <w:style w:type="paragraph" w:customStyle="1" w:styleId="Recommendation">
    <w:name w:val="Recommendation"/>
    <w:basedOn w:val="Heading3"/>
    <w:link w:val="RecommendationChar"/>
    <w:qFormat/>
    <w:rsid w:val="0067124C"/>
    <w:rPr>
      <w:color w:val="287E84"/>
    </w:rPr>
  </w:style>
  <w:style w:type="character" w:customStyle="1" w:styleId="RequirementChar">
    <w:name w:val="Requirement Char"/>
    <w:basedOn w:val="Heading3Char"/>
    <w:link w:val="Requirement"/>
    <w:rsid w:val="0067124C"/>
    <w:rPr>
      <w:rFonts w:ascii="Arial" w:eastAsiaTheme="majorEastAsia" w:hAnsi="Arial" w:cstheme="minorHAnsi"/>
      <w:color w:val="5C308D"/>
      <w:sz w:val="28"/>
      <w:szCs w:val="24"/>
    </w:rPr>
  </w:style>
  <w:style w:type="paragraph" w:customStyle="1" w:styleId="Recommendationheading">
    <w:name w:val="Recommendation heading"/>
    <w:basedOn w:val="Heading3"/>
    <w:link w:val="RecommendationheadingChar"/>
    <w:qFormat/>
    <w:rsid w:val="0067124C"/>
    <w:rPr>
      <w:color w:val="287E84"/>
    </w:rPr>
  </w:style>
  <w:style w:type="character" w:customStyle="1" w:styleId="RecommendationChar">
    <w:name w:val="Recommendation Char"/>
    <w:basedOn w:val="Heading3Char"/>
    <w:link w:val="Recommendation"/>
    <w:rsid w:val="0067124C"/>
    <w:rPr>
      <w:rFonts w:ascii="Arial" w:eastAsiaTheme="majorEastAsia" w:hAnsi="Arial" w:cstheme="minorHAnsi"/>
      <w:color w:val="287E84"/>
      <w:sz w:val="28"/>
      <w:szCs w:val="24"/>
    </w:rPr>
  </w:style>
  <w:style w:type="character" w:customStyle="1" w:styleId="RecommendationheadingChar">
    <w:name w:val="Recommendation heading Char"/>
    <w:basedOn w:val="Heading3Char"/>
    <w:link w:val="Recommendationheading"/>
    <w:rsid w:val="0067124C"/>
    <w:rPr>
      <w:rFonts w:ascii="Arial" w:eastAsiaTheme="majorEastAsia" w:hAnsi="Arial" w:cstheme="minorHAnsi"/>
      <w:color w:val="287E84"/>
      <w:sz w:val="28"/>
      <w:szCs w:val="24"/>
    </w:rPr>
  </w:style>
  <w:style w:type="paragraph" w:styleId="FootnoteText">
    <w:name w:val="footnote text"/>
    <w:basedOn w:val="Body"/>
    <w:link w:val="FootnoteTextChar"/>
    <w:uiPriority w:val="8"/>
    <w:rsid w:val="00C95018"/>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C95018"/>
    <w:rPr>
      <w:rFonts w:ascii="Arial" w:eastAsia="MS Gothic" w:hAnsi="Arial" w:cs="Arial"/>
      <w:sz w:val="18"/>
      <w:szCs w:val="16"/>
    </w:rPr>
  </w:style>
  <w:style w:type="character" w:styleId="FootnoteReference">
    <w:name w:val="footnote reference"/>
    <w:basedOn w:val="DefaultParagraphFont"/>
    <w:uiPriority w:val="99"/>
    <w:unhideWhenUsed/>
    <w:rsid w:val="0067124C"/>
    <w:rPr>
      <w:vertAlign w:val="superscript"/>
    </w:rPr>
  </w:style>
  <w:style w:type="character" w:styleId="FollowedHyperlink">
    <w:name w:val="FollowedHyperlink"/>
    <w:basedOn w:val="DefaultParagraphFont"/>
    <w:uiPriority w:val="99"/>
    <w:unhideWhenUsed/>
    <w:rsid w:val="0067124C"/>
    <w:rPr>
      <w:color w:val="954F72" w:themeColor="followedHyperlink"/>
      <w:u w:val="single"/>
    </w:rPr>
  </w:style>
  <w:style w:type="character" w:customStyle="1" w:styleId="ui-provider">
    <w:name w:val="ui-provider"/>
    <w:basedOn w:val="DefaultParagraphFont"/>
    <w:rsid w:val="0067124C"/>
  </w:style>
  <w:style w:type="paragraph" w:styleId="TOCHeading">
    <w:name w:val="TOC Heading"/>
    <w:basedOn w:val="Heading1"/>
    <w:next w:val="Normal"/>
    <w:uiPriority w:val="39"/>
    <w:unhideWhenUsed/>
    <w:qFormat/>
    <w:rsid w:val="0067124C"/>
    <w:pPr>
      <w:outlineLvl w:val="9"/>
    </w:pPr>
    <w:rPr>
      <w:rFonts w:asciiTheme="majorHAnsi" w:hAnsiTheme="majorHAnsi"/>
      <w:color w:val="2F5496" w:themeColor="accent1" w:themeShade="BF"/>
      <w:sz w:val="32"/>
      <w:lang w:val="en-US"/>
    </w:rPr>
  </w:style>
  <w:style w:type="paragraph" w:styleId="TOC2">
    <w:name w:val="toc 2"/>
    <w:basedOn w:val="Normal"/>
    <w:next w:val="Normal"/>
    <w:autoRedefine/>
    <w:uiPriority w:val="39"/>
    <w:unhideWhenUsed/>
    <w:rsid w:val="0067124C"/>
    <w:pPr>
      <w:tabs>
        <w:tab w:val="right" w:leader="dot" w:pos="9016"/>
      </w:tabs>
      <w:spacing w:after="100"/>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67124C"/>
    <w:pPr>
      <w:tabs>
        <w:tab w:val="right" w:leader="dot" w:pos="9016"/>
      </w:tabs>
      <w:spacing w:after="10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67124C"/>
    <w:pPr>
      <w:spacing w:after="100"/>
      <w:ind w:left="440"/>
    </w:pPr>
    <w:rPr>
      <w:rFonts w:asciiTheme="minorHAnsi" w:eastAsiaTheme="minorEastAsia" w:hAnsiTheme="minorHAnsi" w:cs="Times New Roman"/>
      <w:lang w:val="en-US"/>
    </w:rPr>
  </w:style>
  <w:style w:type="paragraph" w:styleId="NoSpacing">
    <w:name w:val="No Spacing"/>
    <w:uiPriority w:val="1"/>
    <w:qFormat/>
    <w:rsid w:val="0067124C"/>
    <w:pPr>
      <w:spacing w:after="0" w:line="240" w:lineRule="auto"/>
    </w:pPr>
    <w:rPr>
      <w:rFonts w:ascii="VIC" w:hAnsi="VIC"/>
    </w:rPr>
  </w:style>
  <w:style w:type="character" w:customStyle="1" w:styleId="Bullet1Char">
    <w:name w:val="Bullet 1 Char"/>
    <w:basedOn w:val="DefaultParagraphFont"/>
    <w:link w:val="Bullet1"/>
    <w:rsid w:val="0067124C"/>
    <w:rPr>
      <w:rFonts w:ascii="Arial" w:eastAsia="Times" w:hAnsi="Arial" w:cs="Times New Roman"/>
      <w:sz w:val="21"/>
      <w:szCs w:val="20"/>
    </w:rPr>
  </w:style>
  <w:style w:type="paragraph" w:customStyle="1" w:styleId="Bodyaftertablefigure">
    <w:name w:val="Body after table/figure"/>
    <w:basedOn w:val="Body"/>
    <w:next w:val="Body"/>
    <w:uiPriority w:val="1"/>
    <w:rsid w:val="00BB7878"/>
    <w:pPr>
      <w:spacing w:before="240"/>
    </w:pPr>
  </w:style>
  <w:style w:type="paragraph" w:customStyle="1" w:styleId="Bodynospace">
    <w:name w:val="Body no space"/>
    <w:basedOn w:val="Body"/>
    <w:uiPriority w:val="1"/>
    <w:rsid w:val="00BB7878"/>
    <w:pPr>
      <w:spacing w:after="0"/>
    </w:pPr>
  </w:style>
  <w:style w:type="paragraph" w:customStyle="1" w:styleId="Bulletafternumbers1">
    <w:name w:val="Bullet after numbers 1"/>
    <w:basedOn w:val="Body"/>
    <w:uiPriority w:val="4"/>
    <w:rsid w:val="00BB7878"/>
    <w:pPr>
      <w:numPr>
        <w:ilvl w:val="2"/>
        <w:numId w:val="47"/>
      </w:numPr>
    </w:pPr>
  </w:style>
  <w:style w:type="paragraph" w:customStyle="1" w:styleId="Bulletafternumbers2">
    <w:name w:val="Bullet after numbers 2"/>
    <w:basedOn w:val="Body"/>
    <w:rsid w:val="00BB7878"/>
    <w:pPr>
      <w:numPr>
        <w:ilvl w:val="3"/>
        <w:numId w:val="47"/>
      </w:numPr>
    </w:pPr>
  </w:style>
  <w:style w:type="character" w:styleId="PageNumber">
    <w:name w:val="page number"/>
    <w:basedOn w:val="DefaultParagraphFont"/>
    <w:uiPriority w:val="99"/>
    <w:semiHidden/>
    <w:unhideWhenUsed/>
    <w:rsid w:val="00E15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genderequalitycommission.vic.gov.au/reporting-progress" TargetMode="External"/><Relationship Id="rId26" Type="http://schemas.openxmlformats.org/officeDocument/2006/relationships/hyperlink" Target="https://www.genderequalitycommission.vic.gov.au/workplace-gender-equality-indicators" TargetMode="External"/><Relationship Id="rId39" Type="http://schemas.openxmlformats.org/officeDocument/2006/relationships/hyperlink" Target="https://www.legislation.vic.gov.au/as-made/acts/gender-equality-act-2020" TargetMode="External"/><Relationship Id="rId21" Type="http://schemas.microsoft.com/office/2011/relationships/commentsExtended" Target="commentsExtended.xml"/><Relationship Id="rId34" Type="http://schemas.openxmlformats.org/officeDocument/2006/relationships/hyperlink" Target="https://ovic.vic.gov.au/" TargetMode="External"/><Relationship Id="rId42" Type="http://schemas.openxmlformats.org/officeDocument/2006/relationships/hyperlink" Target="https://insights.genderequalitycommission.vic.gov.au/application-dashboard" TargetMode="External"/><Relationship Id="rId47" Type="http://schemas.openxmlformats.org/officeDocument/2006/relationships/header" Target="header2.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vic.gov.au/in-force/acts/gender-equality-act-2020/" TargetMode="External"/><Relationship Id="rId29" Type="http://schemas.openxmlformats.org/officeDocument/2006/relationships/hyperlink" Target="https://www.genderequalitycommission.vic.gov.au/leading-practice-resources" TargetMode="External"/><Relationship Id="rId11" Type="http://schemas.openxmlformats.org/officeDocument/2006/relationships/image" Target="media/image1.png"/><Relationship Id="rId24" Type="http://schemas.openxmlformats.org/officeDocument/2006/relationships/hyperlink" Target="mailto:enquiries@genderequalitycommission.vic.gov.au" TargetMode="External"/><Relationship Id="rId32" Type="http://schemas.openxmlformats.org/officeDocument/2006/relationships/hyperlink" Target="https://www.genderequalitycommission.vic.gov.au/is-gender-impact-assessment-required/assess-impact" TargetMode="External"/><Relationship Id="rId37" Type="http://schemas.openxmlformats.org/officeDocument/2006/relationships/hyperlink" Target="https://www.genderequalitycommission.vic.gov.au/workplace-gender-equality-indicators" TargetMode="External"/><Relationship Id="rId40" Type="http://schemas.openxmlformats.org/officeDocument/2006/relationships/hyperlink" Target="https://forms.office.com/pages/responsepage.aspx?id=H2DgwKwPnESciKEExOufKMnWNqWgMRhCvKZpsLWfS81UQ1JRNjBGSlQxNjQ2QlBaWDJYTVIzTVU1TCQlQCN0PWcu&amp;route=shorturl" TargetMode="External"/><Relationship Id="rId45" Type="http://schemas.openxmlformats.org/officeDocument/2006/relationships/hyperlink" Target="mailto:enquiries@genderequalitycommisison.vic.gov.au" TargetMode="External"/><Relationship Id="rId5" Type="http://schemas.openxmlformats.org/officeDocument/2006/relationships/numbering" Target="numbering.xml"/><Relationship Id="rId15" Type="http://schemas.openxmlformats.org/officeDocument/2006/relationships/hyperlink" Target="https://www.genderequalitycommission.vic.gov.au/list-defined-entities" TargetMode="External"/><Relationship Id="rId23" Type="http://schemas.microsoft.com/office/2018/08/relationships/commentsExtensible" Target="commentsExtensible.xml"/><Relationship Id="rId28" Type="http://schemas.openxmlformats.org/officeDocument/2006/relationships/hyperlink" Target="https://www.genderequalitycommission.vic.gov.au/how-do-i-maintain-my-employees-privacy" TargetMode="External"/><Relationship Id="rId36" Type="http://schemas.openxmlformats.org/officeDocument/2006/relationships/hyperlink" Target="https://www.legislation.vic.gov.au/as-made/acts/gender-equality-act-2020"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enderequalitycommission.vic.gov.au/about-gender-equality-act-2020" TargetMode="External"/><Relationship Id="rId31" Type="http://schemas.openxmlformats.org/officeDocument/2006/relationships/hyperlink" Target="https://www.genderequalitycommission.vic.gov.au/about-gender-equality-act-2020" TargetMode="External"/><Relationship Id="rId44" Type="http://schemas.openxmlformats.org/officeDocument/2006/relationships/hyperlink" Target="mailto:enquiries@genderequalitycommisis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0.png"/><Relationship Id="rId22" Type="http://schemas.microsoft.com/office/2016/09/relationships/commentsIds" Target="commentsIds.xml"/><Relationship Id="rId27" Type="http://schemas.openxmlformats.org/officeDocument/2006/relationships/hyperlink" Target="https://www.genderequalitycommission.vic.gov.au/gender-equality-action-plans-2021" TargetMode="External"/><Relationship Id="rId30" Type="http://schemas.openxmlformats.org/officeDocument/2006/relationships/image" Target="media/image4.png"/><Relationship Id="rId35" Type="http://schemas.openxmlformats.org/officeDocument/2006/relationships/hyperlink" Target="https://ovic.vic.gov.au/freedom-of-information/resources-for-agencies/practice-notes/" TargetMode="External"/><Relationship Id="rId43" Type="http://schemas.openxmlformats.org/officeDocument/2006/relationships/hyperlink" Target="mailto:enquiries@genderequalitycommission.vic.gov.a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genderequalitycommission.vic.gov.au/defined-entities-under-gender-equality-act" TargetMode="External"/><Relationship Id="rId25" Type="http://schemas.openxmlformats.org/officeDocument/2006/relationships/hyperlink" Target="https://www.genderequalitycommission.vic.gov.au/gender-impact-assessments" TargetMode="External"/><Relationship Id="rId33" Type="http://schemas.openxmlformats.org/officeDocument/2006/relationships/hyperlink" Target="https://www.genderequalitycommission.vic.gov.au/compliance-gender-equality-act-2020" TargetMode="External"/><Relationship Id="rId38" Type="http://schemas.openxmlformats.org/officeDocument/2006/relationships/hyperlink" Target="https://www.genderequalitycommission.vic.gov.au/reporting-platform-help" TargetMode="External"/><Relationship Id="rId46" Type="http://schemas.openxmlformats.org/officeDocument/2006/relationships/header" Target="header1.xml"/><Relationship Id="rId20" Type="http://schemas.openxmlformats.org/officeDocument/2006/relationships/comments" Target="comments.xml"/><Relationship Id="rId41" Type="http://schemas.openxmlformats.org/officeDocument/2006/relationships/hyperlink" Target="mailto:enquiries@genderequalitycommission.vic.gov.au"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vic.gov.au/in-force/acts/charter-human-rights-and-responsibilities-act-2006/" TargetMode="External"/><Relationship Id="rId2" Type="http://schemas.openxmlformats.org/officeDocument/2006/relationships/hyperlink" Target="https://www.legislation.vic.gov.au/in-force/acts/equal-opportunity-act-2010/" TargetMode="External"/><Relationship Id="rId1" Type="http://schemas.openxmlformats.org/officeDocument/2006/relationships/hyperlink" Target="https://www.legislation.gov.au/Series/C2022C00341" TargetMode="External"/><Relationship Id="rId5" Type="http://schemas.openxmlformats.org/officeDocument/2006/relationships/hyperlink" Target="https://www.legislation.gov.au/Series/C2004A03332" TargetMode="External"/><Relationship Id="rId4" Type="http://schemas.openxmlformats.org/officeDocument/2006/relationships/hyperlink" Target="https://www.legislation.gov.au/Series/C2004A02868"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cb37dd-16a1-4d7b-8276-5c0e4168f63b">
      <UserInfo>
        <DisplayName>Margot Paxman (CGEPS)</DisplayName>
        <AccountId>18</AccountId>
        <AccountType/>
      </UserInfo>
      <UserInfo>
        <DisplayName>Tassia Locke (CGEPS)</DisplayName>
        <AccountId>20</AccountId>
        <AccountType/>
      </UserInfo>
      <UserInfo>
        <DisplayName>Enya Cai (VMC)</DisplayName>
        <AccountId>13</AccountId>
        <AccountType/>
      </UserInfo>
      <UserInfo>
        <DisplayName>Lilli Craig (CGEPS)</DisplayName>
        <AccountId>16</AccountId>
        <AccountType/>
      </UserInfo>
      <UserInfo>
        <DisplayName>Kate Berry (CGEPS)</DisplayName>
        <AccountId>21</AccountId>
        <AccountType/>
      </UserInfo>
      <UserInfo>
        <DisplayName>Holly Tan (CGEPS)</DisplayName>
        <AccountId>12</AccountId>
        <AccountType/>
      </UserInfo>
      <UserInfo>
        <DisplayName>Jo Richardson (CGEPS)</DisplayName>
        <AccountId>14</AccountId>
        <AccountType/>
      </UserInfo>
      <UserInfo>
        <DisplayName>Kate Joffe (CGEPS)</DisplayName>
        <AccountId>26</AccountId>
        <AccountType/>
      </UserInfo>
      <UserInfo>
        <DisplayName>Niki Vincent (CGEPS)</DisplayName>
        <AccountId>24</AccountId>
        <AccountType/>
      </UserInfo>
      <UserInfo>
        <DisplayName>Stefani Cooper (CGEPS)</DisplayName>
        <AccountId>25</AccountId>
        <AccountType/>
      </UserInfo>
      <UserInfo>
        <DisplayName>Andrew Watson (CGEPS)</DisplayName>
        <AccountId>17</AccountId>
        <AccountType/>
      </UserInfo>
      <UserInfo>
        <DisplayName>Kate Farhall (CGEPS)</DisplayName>
        <AccountId>57</AccountId>
        <AccountType/>
      </UserInfo>
      <UserInfo>
        <DisplayName>Simon Glynn (CGEPS)</DisplayName>
        <AccountId>22</AccountId>
        <AccountType/>
      </UserInfo>
      <UserInfo>
        <DisplayName>Emma Gibson (CGEPS)</DisplayName>
        <AccountId>23</AccountId>
        <AccountType/>
      </UserInfo>
      <UserInfo>
        <DisplayName>Natalie Russell (Health)</DisplayName>
        <AccountId>79</AccountId>
        <AccountType/>
      </UserInfo>
      <UserInfo>
        <DisplayName>Xy-Za Vargas (CGEPS)</DisplayName>
        <AccountId>96</AccountId>
        <AccountType/>
      </UserInfo>
      <UserInfo>
        <DisplayName>Jacqueline Wright (DFFH)</DisplayName>
        <AccountId>556</AccountId>
        <AccountType/>
      </UserInfo>
    </SharedWithUsers>
    <lcf76f155ced4ddcb4097134ff3c332f xmlns="50f00e27-c35f-46eb-9301-c9e2bd24673f">
      <Terms xmlns="http://schemas.microsoft.com/office/infopath/2007/PartnerControls"/>
    </lcf76f155ced4ddcb4097134ff3c332f>
    <TaxCatchAll xmlns="5ce0f2b5-5be5-4508-bce9-d7011ece0659" xsi:nil="true"/>
    <TRIMstatus xmlns="50f00e27-c35f-46eb-9301-c9e2bd24673f" xsi:nil="true"/>
    <TRIMreference xmlns="50f00e27-c35f-46eb-9301-c9e2bd24673f" xsi:nil="true"/>
    <_Flow_SignoffStatus xmlns="50f00e27-c35f-46eb-9301-c9e2bd2467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B266F-1517-47E5-85F9-29752D7348E2}">
  <ds:schemaRefs>
    <ds:schemaRef ds:uri="http://purl.org/dc/terms/"/>
    <ds:schemaRef ds:uri="http://schemas.openxmlformats.org/package/2006/metadata/core-properties"/>
    <ds:schemaRef ds:uri="50f00e27-c35f-46eb-9301-c9e2bd24673f"/>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5ce0f2b5-5be5-4508-bce9-d7011ece0659"/>
    <ds:schemaRef ds:uri="27cb37dd-16a1-4d7b-8276-5c0e4168f63b"/>
    <ds:schemaRef ds:uri="http://www.w3.org/XML/1998/namespace"/>
  </ds:schemaRefs>
</ds:datastoreItem>
</file>

<file path=customXml/itemProps2.xml><?xml version="1.0" encoding="utf-8"?>
<ds:datastoreItem xmlns:ds="http://schemas.openxmlformats.org/officeDocument/2006/customXml" ds:itemID="{EEA46C72-2603-48DF-ACEE-3F8825F6FED1}">
  <ds:schemaRefs>
    <ds:schemaRef ds:uri="http://schemas.microsoft.com/sharepoint/v3/contenttype/forms"/>
  </ds:schemaRefs>
</ds:datastoreItem>
</file>

<file path=customXml/itemProps3.xml><?xml version="1.0" encoding="utf-8"?>
<ds:datastoreItem xmlns:ds="http://schemas.openxmlformats.org/officeDocument/2006/customXml" ds:itemID="{6A35F40F-9AC8-44BF-AF6E-DF8935D06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1DF2E-5ECD-484C-9DFF-468AA6FB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7255</Words>
  <Characters>41355</Characters>
  <Application>Microsoft Office Word</Application>
  <DocSecurity>4</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48513</CharactersWithSpaces>
  <SharedDoc>false</SharedDoc>
  <HLinks>
    <vt:vector size="240" baseType="variant">
      <vt:variant>
        <vt:i4>6094972</vt:i4>
      </vt:variant>
      <vt:variant>
        <vt:i4>99</vt:i4>
      </vt:variant>
      <vt:variant>
        <vt:i4>0</vt:i4>
      </vt:variant>
      <vt:variant>
        <vt:i4>5</vt:i4>
      </vt:variant>
      <vt:variant>
        <vt:lpwstr>mailto:enquiries@genderequalitycommisison.vic.gov.au</vt:lpwstr>
      </vt:variant>
      <vt:variant>
        <vt:lpwstr/>
      </vt:variant>
      <vt:variant>
        <vt:i4>6094972</vt:i4>
      </vt:variant>
      <vt:variant>
        <vt:i4>96</vt:i4>
      </vt:variant>
      <vt:variant>
        <vt:i4>0</vt:i4>
      </vt:variant>
      <vt:variant>
        <vt:i4>5</vt:i4>
      </vt:variant>
      <vt:variant>
        <vt:lpwstr>mailto:enquiries@genderequalitycommisison.vic.gov.au</vt:lpwstr>
      </vt:variant>
      <vt:variant>
        <vt:lpwstr/>
      </vt:variant>
      <vt:variant>
        <vt:i4>4653158</vt:i4>
      </vt:variant>
      <vt:variant>
        <vt:i4>93</vt:i4>
      </vt:variant>
      <vt:variant>
        <vt:i4>0</vt:i4>
      </vt:variant>
      <vt:variant>
        <vt:i4>5</vt:i4>
      </vt:variant>
      <vt:variant>
        <vt:lpwstr>mailto:enquiries@genderequalitycommission.vic.gov.au</vt:lpwstr>
      </vt:variant>
      <vt:variant>
        <vt:lpwstr/>
      </vt:variant>
      <vt:variant>
        <vt:i4>2162805</vt:i4>
      </vt:variant>
      <vt:variant>
        <vt:i4>90</vt:i4>
      </vt:variant>
      <vt:variant>
        <vt:i4>0</vt:i4>
      </vt:variant>
      <vt:variant>
        <vt:i4>5</vt:i4>
      </vt:variant>
      <vt:variant>
        <vt:lpwstr>https://insights.genderequalitycommission.vic.gov.au/application-dashboard</vt:lpwstr>
      </vt:variant>
      <vt:variant>
        <vt:lpwstr/>
      </vt:variant>
      <vt:variant>
        <vt:i4>4653158</vt:i4>
      </vt:variant>
      <vt:variant>
        <vt:i4>87</vt:i4>
      </vt:variant>
      <vt:variant>
        <vt:i4>0</vt:i4>
      </vt:variant>
      <vt:variant>
        <vt:i4>5</vt:i4>
      </vt:variant>
      <vt:variant>
        <vt:lpwstr>mailto:enquiries@genderequalitycommission.vic.gov.au</vt:lpwstr>
      </vt:variant>
      <vt:variant>
        <vt:lpwstr/>
      </vt:variant>
      <vt:variant>
        <vt:i4>3604581</vt:i4>
      </vt:variant>
      <vt:variant>
        <vt:i4>84</vt:i4>
      </vt:variant>
      <vt:variant>
        <vt:i4>0</vt:i4>
      </vt:variant>
      <vt:variant>
        <vt:i4>5</vt:i4>
      </vt:variant>
      <vt:variant>
        <vt:lpwstr>https://forms.office.com/pages/responsepage.aspx?id=H2DgwKwPnESciKEExOufKMnWNqWgMRhCvKZpsLWfS81UQ1JRNjBGSlQxNjQ2QlBaWDJYTVIzTVU1TCQlQCN0PWcu&amp;route=shorturl</vt:lpwstr>
      </vt:variant>
      <vt:variant>
        <vt:lpwstr/>
      </vt:variant>
      <vt:variant>
        <vt:i4>262149</vt:i4>
      </vt:variant>
      <vt:variant>
        <vt:i4>81</vt:i4>
      </vt:variant>
      <vt:variant>
        <vt:i4>0</vt:i4>
      </vt:variant>
      <vt:variant>
        <vt:i4>5</vt:i4>
      </vt:variant>
      <vt:variant>
        <vt:lpwstr>https://www.legislation.vic.gov.au/as-made/acts/gender-equality-act-2020</vt:lpwstr>
      </vt:variant>
      <vt:variant>
        <vt:lpwstr/>
      </vt:variant>
      <vt:variant>
        <vt:i4>2359345</vt:i4>
      </vt:variant>
      <vt:variant>
        <vt:i4>78</vt:i4>
      </vt:variant>
      <vt:variant>
        <vt:i4>0</vt:i4>
      </vt:variant>
      <vt:variant>
        <vt:i4>5</vt:i4>
      </vt:variant>
      <vt:variant>
        <vt:lpwstr>https://www.genderequalitycommission.vic.gov.au/reporting-platform-help</vt:lpwstr>
      </vt:variant>
      <vt:variant>
        <vt:lpwstr/>
      </vt:variant>
      <vt:variant>
        <vt:i4>852058</vt:i4>
      </vt:variant>
      <vt:variant>
        <vt:i4>75</vt:i4>
      </vt:variant>
      <vt:variant>
        <vt:i4>0</vt:i4>
      </vt:variant>
      <vt:variant>
        <vt:i4>5</vt:i4>
      </vt:variant>
      <vt:variant>
        <vt:lpwstr>https://www.genderequalitycommission.vic.gov.au/workplace-gender-equality-indicators</vt:lpwstr>
      </vt:variant>
      <vt:variant>
        <vt:lpwstr/>
      </vt:variant>
      <vt:variant>
        <vt:i4>3997707</vt:i4>
      </vt:variant>
      <vt:variant>
        <vt:i4>72</vt:i4>
      </vt:variant>
      <vt:variant>
        <vt:i4>0</vt:i4>
      </vt:variant>
      <vt:variant>
        <vt:i4>5</vt:i4>
      </vt:variant>
      <vt:variant>
        <vt:lpwstr/>
      </vt:variant>
      <vt:variant>
        <vt:lpwstr>_Intersectional_gender_inequality</vt:lpwstr>
      </vt:variant>
      <vt:variant>
        <vt:i4>262149</vt:i4>
      </vt:variant>
      <vt:variant>
        <vt:i4>69</vt:i4>
      </vt:variant>
      <vt:variant>
        <vt:i4>0</vt:i4>
      </vt:variant>
      <vt:variant>
        <vt:i4>5</vt:i4>
      </vt:variant>
      <vt:variant>
        <vt:lpwstr>https://www.legislation.vic.gov.au/as-made/acts/gender-equality-act-2020</vt:lpwstr>
      </vt:variant>
      <vt:variant>
        <vt:lpwstr/>
      </vt:variant>
      <vt:variant>
        <vt:i4>458874</vt:i4>
      </vt:variant>
      <vt:variant>
        <vt:i4>66</vt:i4>
      </vt:variant>
      <vt:variant>
        <vt:i4>0</vt:i4>
      </vt:variant>
      <vt:variant>
        <vt:i4>5</vt:i4>
      </vt:variant>
      <vt:variant>
        <vt:lpwstr/>
      </vt:variant>
      <vt:variant>
        <vt:lpwstr>_Policies,_programs_and</vt:lpwstr>
      </vt:variant>
      <vt:variant>
        <vt:i4>7340083</vt:i4>
      </vt:variant>
      <vt:variant>
        <vt:i4>63</vt:i4>
      </vt:variant>
      <vt:variant>
        <vt:i4>0</vt:i4>
      </vt:variant>
      <vt:variant>
        <vt:i4>5</vt:i4>
      </vt:variant>
      <vt:variant>
        <vt:lpwstr>https://ovic.vic.gov.au/freedom-of-information/resources-for-agencies/practice-notes/</vt:lpwstr>
      </vt:variant>
      <vt:variant>
        <vt:lpwstr>foi-exemptions</vt:lpwstr>
      </vt:variant>
      <vt:variant>
        <vt:i4>5111835</vt:i4>
      </vt:variant>
      <vt:variant>
        <vt:i4>60</vt:i4>
      </vt:variant>
      <vt:variant>
        <vt:i4>0</vt:i4>
      </vt:variant>
      <vt:variant>
        <vt:i4>5</vt:i4>
      </vt:variant>
      <vt:variant>
        <vt:lpwstr>https://ovic.vic.gov.au/</vt:lpwstr>
      </vt:variant>
      <vt:variant>
        <vt:lpwstr/>
      </vt:variant>
      <vt:variant>
        <vt:i4>3014759</vt:i4>
      </vt:variant>
      <vt:variant>
        <vt:i4>57</vt:i4>
      </vt:variant>
      <vt:variant>
        <vt:i4>0</vt:i4>
      </vt:variant>
      <vt:variant>
        <vt:i4>5</vt:i4>
      </vt:variant>
      <vt:variant>
        <vt:lpwstr>https://www.genderequalitycommission.vic.gov.au/compliance-gender-equality-act-2020</vt:lpwstr>
      </vt:variant>
      <vt:variant>
        <vt:lpwstr/>
      </vt:variant>
      <vt:variant>
        <vt:i4>3145769</vt:i4>
      </vt:variant>
      <vt:variant>
        <vt:i4>54</vt:i4>
      </vt:variant>
      <vt:variant>
        <vt:i4>0</vt:i4>
      </vt:variant>
      <vt:variant>
        <vt:i4>5</vt:i4>
      </vt:variant>
      <vt:variant>
        <vt:lpwstr>https://www.genderequalitycommission.vic.gov.au/is-gender-impact-assessment-required/assess-impact</vt:lpwstr>
      </vt:variant>
      <vt:variant>
        <vt:lpwstr/>
      </vt:variant>
      <vt:variant>
        <vt:i4>917548</vt:i4>
      </vt:variant>
      <vt:variant>
        <vt:i4>51</vt:i4>
      </vt:variant>
      <vt:variant>
        <vt:i4>0</vt:i4>
      </vt:variant>
      <vt:variant>
        <vt:i4>5</vt:i4>
      </vt:variant>
      <vt:variant>
        <vt:lpwstr/>
      </vt:variant>
      <vt:variant>
        <vt:lpwstr>_Strategies_and_measures</vt:lpwstr>
      </vt:variant>
      <vt:variant>
        <vt:i4>4784214</vt:i4>
      </vt:variant>
      <vt:variant>
        <vt:i4>48</vt:i4>
      </vt:variant>
      <vt:variant>
        <vt:i4>0</vt:i4>
      </vt:variant>
      <vt:variant>
        <vt:i4>5</vt:i4>
      </vt:variant>
      <vt:variant>
        <vt:lpwstr/>
      </vt:variant>
      <vt:variant>
        <vt:lpwstr>_Appendix_B</vt:lpwstr>
      </vt:variant>
      <vt:variant>
        <vt:i4>2424876</vt:i4>
      </vt:variant>
      <vt:variant>
        <vt:i4>45</vt:i4>
      </vt:variant>
      <vt:variant>
        <vt:i4>0</vt:i4>
      </vt:variant>
      <vt:variant>
        <vt:i4>5</vt:i4>
      </vt:variant>
      <vt:variant>
        <vt:lpwstr>https://www.genderequalitycommission.vic.gov.au/about-gender-equality-act-2020</vt:lpwstr>
      </vt:variant>
      <vt:variant>
        <vt:lpwstr/>
      </vt:variant>
      <vt:variant>
        <vt:i4>3932215</vt:i4>
      </vt:variant>
      <vt:variant>
        <vt:i4>42</vt:i4>
      </vt:variant>
      <vt:variant>
        <vt:i4>0</vt:i4>
      </vt:variant>
      <vt:variant>
        <vt:i4>5</vt:i4>
      </vt:variant>
      <vt:variant>
        <vt:lpwstr>https://www.genderequalitycommission.vic.gov.au/leading-practice-resources</vt:lpwstr>
      </vt:variant>
      <vt:variant>
        <vt:lpwstr/>
      </vt:variant>
      <vt:variant>
        <vt:i4>6488174</vt:i4>
      </vt:variant>
      <vt:variant>
        <vt:i4>39</vt:i4>
      </vt:variant>
      <vt:variant>
        <vt:i4>0</vt:i4>
      </vt:variant>
      <vt:variant>
        <vt:i4>5</vt:i4>
      </vt:variant>
      <vt:variant>
        <vt:lpwstr>https://www.genderequalitycommission.vic.gov.au/how-do-i-maintain-my-employees-privacy</vt:lpwstr>
      </vt:variant>
      <vt:variant>
        <vt:lpwstr/>
      </vt:variant>
      <vt:variant>
        <vt:i4>5701643</vt:i4>
      </vt:variant>
      <vt:variant>
        <vt:i4>36</vt:i4>
      </vt:variant>
      <vt:variant>
        <vt:i4>0</vt:i4>
      </vt:variant>
      <vt:variant>
        <vt:i4>5</vt:i4>
      </vt:variant>
      <vt:variant>
        <vt:lpwstr>https://www.genderequalitycommission.vic.gov.au/gender-equality-action-plans-2021</vt:lpwstr>
      </vt:variant>
      <vt:variant>
        <vt:lpwstr/>
      </vt:variant>
      <vt:variant>
        <vt:i4>852058</vt:i4>
      </vt:variant>
      <vt:variant>
        <vt:i4>33</vt:i4>
      </vt:variant>
      <vt:variant>
        <vt:i4>0</vt:i4>
      </vt:variant>
      <vt:variant>
        <vt:i4>5</vt:i4>
      </vt:variant>
      <vt:variant>
        <vt:lpwstr>https://www.genderequalitycommission.vic.gov.au/workplace-gender-equality-indicators</vt:lpwstr>
      </vt:variant>
      <vt:variant>
        <vt:lpwstr/>
      </vt:variant>
      <vt:variant>
        <vt:i4>5701721</vt:i4>
      </vt:variant>
      <vt:variant>
        <vt:i4>30</vt:i4>
      </vt:variant>
      <vt:variant>
        <vt:i4>0</vt:i4>
      </vt:variant>
      <vt:variant>
        <vt:i4>5</vt:i4>
      </vt:variant>
      <vt:variant>
        <vt:lpwstr>https://www.genderequalitycommission.vic.gov.au/gender-impact-assessments</vt:lpwstr>
      </vt:variant>
      <vt:variant>
        <vt:lpwstr/>
      </vt:variant>
      <vt:variant>
        <vt:i4>4653158</vt:i4>
      </vt:variant>
      <vt:variant>
        <vt:i4>27</vt:i4>
      </vt:variant>
      <vt:variant>
        <vt:i4>0</vt:i4>
      </vt:variant>
      <vt:variant>
        <vt:i4>5</vt:i4>
      </vt:variant>
      <vt:variant>
        <vt:lpwstr>mailto:enquiries@genderequalitycommission.vic.gov.au</vt:lpwstr>
      </vt:variant>
      <vt:variant>
        <vt:lpwstr/>
      </vt:variant>
      <vt:variant>
        <vt:i4>4784214</vt:i4>
      </vt:variant>
      <vt:variant>
        <vt:i4>24</vt:i4>
      </vt:variant>
      <vt:variant>
        <vt:i4>0</vt:i4>
      </vt:variant>
      <vt:variant>
        <vt:i4>5</vt:i4>
      </vt:variant>
      <vt:variant>
        <vt:lpwstr/>
      </vt:variant>
      <vt:variant>
        <vt:lpwstr>_Appendix_A</vt:lpwstr>
      </vt:variant>
      <vt:variant>
        <vt:i4>3538956</vt:i4>
      </vt:variant>
      <vt:variant>
        <vt:i4>21</vt:i4>
      </vt:variant>
      <vt:variant>
        <vt:i4>0</vt:i4>
      </vt:variant>
      <vt:variant>
        <vt:i4>5</vt:i4>
      </vt:variant>
      <vt:variant>
        <vt:lpwstr/>
      </vt:variant>
      <vt:variant>
        <vt:lpwstr>_GEAP_strategies_and</vt:lpwstr>
      </vt:variant>
      <vt:variant>
        <vt:i4>4325488</vt:i4>
      </vt:variant>
      <vt:variant>
        <vt:i4>18</vt:i4>
      </vt:variant>
      <vt:variant>
        <vt:i4>0</vt:i4>
      </vt:variant>
      <vt:variant>
        <vt:i4>5</vt:i4>
      </vt:variant>
      <vt:variant>
        <vt:lpwstr/>
      </vt:variant>
      <vt:variant>
        <vt:lpwstr>_Workplace_gender_equality</vt:lpwstr>
      </vt:variant>
      <vt:variant>
        <vt:i4>7012421</vt:i4>
      </vt:variant>
      <vt:variant>
        <vt:i4>15</vt:i4>
      </vt:variant>
      <vt:variant>
        <vt:i4>0</vt:i4>
      </vt:variant>
      <vt:variant>
        <vt:i4>5</vt:i4>
      </vt:variant>
      <vt:variant>
        <vt:lpwstr/>
      </vt:variant>
      <vt:variant>
        <vt:lpwstr>_Submission_and_publication</vt:lpwstr>
      </vt:variant>
      <vt:variant>
        <vt:i4>2424876</vt:i4>
      </vt:variant>
      <vt:variant>
        <vt:i4>12</vt:i4>
      </vt:variant>
      <vt:variant>
        <vt:i4>0</vt:i4>
      </vt:variant>
      <vt:variant>
        <vt:i4>5</vt:i4>
      </vt:variant>
      <vt:variant>
        <vt:lpwstr>https://www.genderequalitycommission.vic.gov.au/about-gender-equality-act-2020</vt:lpwstr>
      </vt:variant>
      <vt:variant>
        <vt:lpwstr/>
      </vt:variant>
      <vt:variant>
        <vt:i4>3735650</vt:i4>
      </vt:variant>
      <vt:variant>
        <vt:i4>9</vt:i4>
      </vt:variant>
      <vt:variant>
        <vt:i4>0</vt:i4>
      </vt:variant>
      <vt:variant>
        <vt:i4>5</vt:i4>
      </vt:variant>
      <vt:variant>
        <vt:lpwstr>https://www.genderequalitycommission.vic.gov.au/reporting-progress</vt:lpwstr>
      </vt:variant>
      <vt:variant>
        <vt:lpwstr/>
      </vt:variant>
      <vt:variant>
        <vt:i4>6881332</vt:i4>
      </vt:variant>
      <vt:variant>
        <vt:i4>6</vt:i4>
      </vt:variant>
      <vt:variant>
        <vt:i4>0</vt:i4>
      </vt:variant>
      <vt:variant>
        <vt:i4>5</vt:i4>
      </vt:variant>
      <vt:variant>
        <vt:lpwstr>https://www.genderequalitycommission.vic.gov.au/defined-entities-under-gender-equality-act</vt:lpwstr>
      </vt:variant>
      <vt:variant>
        <vt:lpwstr/>
      </vt:variant>
      <vt:variant>
        <vt:i4>6422569</vt:i4>
      </vt:variant>
      <vt:variant>
        <vt:i4>3</vt:i4>
      </vt:variant>
      <vt:variant>
        <vt:i4>0</vt:i4>
      </vt:variant>
      <vt:variant>
        <vt:i4>5</vt:i4>
      </vt:variant>
      <vt:variant>
        <vt:lpwstr>https://www.legislation.vic.gov.au/in-force/acts/gender-equality-act-2020/</vt:lpwstr>
      </vt:variant>
      <vt:variant>
        <vt:lpwstr/>
      </vt:variant>
      <vt:variant>
        <vt:i4>1179674</vt:i4>
      </vt:variant>
      <vt:variant>
        <vt:i4>0</vt:i4>
      </vt:variant>
      <vt:variant>
        <vt:i4>0</vt:i4>
      </vt:variant>
      <vt:variant>
        <vt:i4>5</vt:i4>
      </vt:variant>
      <vt:variant>
        <vt:lpwstr>https://www.genderequalitycommission.vic.gov.au/list-defined-entities</vt:lpwstr>
      </vt:variant>
      <vt:variant>
        <vt:lpwstr/>
      </vt:variant>
      <vt:variant>
        <vt:i4>3014726</vt:i4>
      </vt:variant>
      <vt:variant>
        <vt:i4>15</vt:i4>
      </vt:variant>
      <vt:variant>
        <vt:i4>0</vt:i4>
      </vt:variant>
      <vt:variant>
        <vt:i4>5</vt:i4>
      </vt:variant>
      <vt:variant>
        <vt:lpwstr/>
      </vt:variant>
      <vt:variant>
        <vt:lpwstr>_*_The_proposed</vt:lpwstr>
      </vt:variant>
      <vt:variant>
        <vt:i4>65562</vt:i4>
      </vt:variant>
      <vt:variant>
        <vt:i4>12</vt:i4>
      </vt:variant>
      <vt:variant>
        <vt:i4>0</vt:i4>
      </vt:variant>
      <vt:variant>
        <vt:i4>5</vt:i4>
      </vt:variant>
      <vt:variant>
        <vt:lpwstr>https://www.legislation.gov.au/Series/C2004A03332</vt:lpwstr>
      </vt:variant>
      <vt:variant>
        <vt:lpwstr/>
      </vt:variant>
      <vt:variant>
        <vt:i4>327697</vt:i4>
      </vt:variant>
      <vt:variant>
        <vt:i4>9</vt:i4>
      </vt:variant>
      <vt:variant>
        <vt:i4>0</vt:i4>
      </vt:variant>
      <vt:variant>
        <vt:i4>5</vt:i4>
      </vt:variant>
      <vt:variant>
        <vt:lpwstr>https://www.legislation.gov.au/Series/C2004A02868</vt:lpwstr>
      </vt:variant>
      <vt:variant>
        <vt:lpwstr/>
      </vt:variant>
      <vt:variant>
        <vt:i4>4784202</vt:i4>
      </vt:variant>
      <vt:variant>
        <vt:i4>6</vt:i4>
      </vt:variant>
      <vt:variant>
        <vt:i4>0</vt:i4>
      </vt:variant>
      <vt:variant>
        <vt:i4>5</vt:i4>
      </vt:variant>
      <vt:variant>
        <vt:lpwstr>https://www.legislation.vic.gov.au/in-force/acts/charter-human-rights-and-responsibilities-act-2006/</vt:lpwstr>
      </vt:variant>
      <vt:variant>
        <vt:lpwstr/>
      </vt:variant>
      <vt:variant>
        <vt:i4>5505054</vt:i4>
      </vt:variant>
      <vt:variant>
        <vt:i4>3</vt:i4>
      </vt:variant>
      <vt:variant>
        <vt:i4>0</vt:i4>
      </vt:variant>
      <vt:variant>
        <vt:i4>5</vt:i4>
      </vt:variant>
      <vt:variant>
        <vt:lpwstr>https://www.legislation.vic.gov.au/in-force/acts/equal-opportunity-act-2010/</vt:lpwstr>
      </vt:variant>
      <vt:variant>
        <vt:lpwstr/>
      </vt:variant>
      <vt:variant>
        <vt:i4>327708</vt:i4>
      </vt:variant>
      <vt:variant>
        <vt:i4>0</vt:i4>
      </vt:variant>
      <vt:variant>
        <vt:i4>0</vt:i4>
      </vt:variant>
      <vt:variant>
        <vt:i4>5</vt:i4>
      </vt:variant>
      <vt:variant>
        <vt:lpwstr>https://www.legislation.gov.au/Series/C2022C00341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Macrae</dc:creator>
  <cp:keywords/>
  <dc:description/>
  <cp:lastModifiedBy>Kate Farhall (CGEPS)</cp:lastModifiedBy>
  <cp:revision>37</cp:revision>
  <dcterms:created xsi:type="dcterms:W3CDTF">2025-02-18T16:42:00Z</dcterms:created>
  <dcterms:modified xsi:type="dcterms:W3CDTF">2025-02-20T01:59:00Z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ediaServiceImageTags">
    <vt:lpwstr/>
  </property>
</Properties>
</file>