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92FC" w14:textId="4BFA2BD5" w:rsidR="003478FB" w:rsidRPr="006875D5" w:rsidRDefault="003478FB" w:rsidP="003478FB">
      <w:pPr>
        <w:pStyle w:val="Title"/>
        <w:rPr>
          <w:rFonts w:ascii="VIC" w:hAnsi="VIC"/>
        </w:rPr>
      </w:pPr>
      <w:r w:rsidRPr="006875D5">
        <w:rPr>
          <w:rFonts w:ascii="VIC" w:hAnsi="VIC"/>
        </w:rPr>
        <w:t>Making your progress report accessible for web publishing</w:t>
      </w:r>
    </w:p>
    <w:p w14:paraId="225F074A" w14:textId="581C507B" w:rsidR="005225F2" w:rsidRPr="006875D5" w:rsidRDefault="005225F2" w:rsidP="004976B8">
      <w:pPr>
        <w:rPr>
          <w:rStyle w:val="Hyperlink"/>
          <w:rFonts w:ascii="VIC" w:hAnsi="VIC"/>
          <w:color w:val="auto"/>
          <w:u w:val="none"/>
        </w:rPr>
      </w:pPr>
      <w:r w:rsidRPr="006875D5">
        <w:rPr>
          <w:rFonts w:ascii="VIC" w:hAnsi="VIC"/>
        </w:rPr>
        <w:t xml:space="preserve">Most organisations covered by the Gender Equality Act will </w:t>
      </w:r>
      <w:r w:rsidR="004976B8" w:rsidRPr="006875D5">
        <w:rPr>
          <w:rFonts w:ascii="VIC" w:hAnsi="VIC"/>
        </w:rPr>
        <w:t xml:space="preserve">need to meet the </w:t>
      </w:r>
      <w:hyperlink r:id="rId10" w:tgtFrame="_blank" w:history="1">
        <w:r w:rsidRPr="006875D5">
          <w:rPr>
            <w:rStyle w:val="Hyperlink"/>
            <w:rFonts w:ascii="VIC" w:hAnsi="VIC"/>
          </w:rPr>
          <w:t>Web Content Accessibility Guidelines Version</w:t>
        </w:r>
        <w:r w:rsidRPr="006875D5">
          <w:rPr>
            <w:rStyle w:val="Hyperlink"/>
            <w:rFonts w:ascii="Cambria" w:hAnsi="Cambria" w:cs="Cambria"/>
          </w:rPr>
          <w:t> </w:t>
        </w:r>
        <w:r w:rsidRPr="006875D5">
          <w:rPr>
            <w:rStyle w:val="Hyperlink"/>
            <w:rFonts w:ascii="VIC" w:hAnsi="VIC"/>
          </w:rPr>
          <w:t>2.1</w:t>
        </w:r>
      </w:hyperlink>
      <w:r w:rsidRPr="006875D5">
        <w:rPr>
          <w:rStyle w:val="Hyperlink"/>
          <w:rFonts w:ascii="Cambria" w:hAnsi="Cambria" w:cs="Cambria"/>
        </w:rPr>
        <w:t> </w:t>
      </w:r>
      <w:r w:rsidRPr="006875D5">
        <w:rPr>
          <w:rStyle w:val="Hyperlink"/>
          <w:rFonts w:ascii="VIC" w:hAnsi="VIC"/>
        </w:rPr>
        <w:t>Level AA standard</w:t>
      </w:r>
      <w:r w:rsidR="00C270B0" w:rsidRPr="006875D5">
        <w:rPr>
          <w:rStyle w:val="Hyperlink"/>
          <w:rFonts w:ascii="VIC" w:hAnsi="VIC"/>
        </w:rPr>
        <w:t>.</w:t>
      </w:r>
    </w:p>
    <w:p w14:paraId="0A5BDDBC" w14:textId="1DC78C75" w:rsidR="005225F2" w:rsidRPr="006875D5" w:rsidRDefault="005225F2">
      <w:pPr>
        <w:rPr>
          <w:rFonts w:ascii="VIC" w:hAnsi="VIC"/>
        </w:rPr>
      </w:pPr>
      <w:r w:rsidRPr="006875D5">
        <w:rPr>
          <w:rFonts w:ascii="VIC" w:hAnsi="VIC"/>
        </w:rPr>
        <w:t xml:space="preserve">This guide will help you prepare your Excel spreadsheet to address known accessibility issues in the template. </w:t>
      </w:r>
      <w:r w:rsidR="004976B8" w:rsidRPr="006875D5">
        <w:rPr>
          <w:rFonts w:ascii="VIC" w:hAnsi="VIC"/>
        </w:rPr>
        <w:t xml:space="preserve">It will take 5-10 minutes. </w:t>
      </w:r>
    </w:p>
    <w:p w14:paraId="7C9A5793" w14:textId="7709B360" w:rsidR="00A803D5" w:rsidRPr="006875D5" w:rsidRDefault="00A803D5" w:rsidP="00A803D5">
      <w:pPr>
        <w:pStyle w:val="Heading2"/>
        <w:rPr>
          <w:rFonts w:ascii="VIC" w:hAnsi="VIC"/>
        </w:rPr>
      </w:pPr>
      <w:r w:rsidRPr="006875D5">
        <w:rPr>
          <w:rFonts w:ascii="VIC" w:hAnsi="VIC"/>
        </w:rPr>
        <w:t xml:space="preserve">Unprotect the </w:t>
      </w:r>
      <w:r w:rsidR="004E5C97" w:rsidRPr="006875D5">
        <w:rPr>
          <w:rFonts w:ascii="VIC" w:hAnsi="VIC"/>
        </w:rPr>
        <w:t>workbook</w:t>
      </w:r>
    </w:p>
    <w:p w14:paraId="1B0C8977" w14:textId="09A074C3" w:rsidR="00A803D5" w:rsidRPr="006875D5" w:rsidRDefault="004E5C97" w:rsidP="00A803D5">
      <w:pPr>
        <w:rPr>
          <w:rFonts w:ascii="VIC" w:hAnsi="VIC"/>
        </w:rPr>
      </w:pPr>
      <w:r w:rsidRPr="006875D5">
        <w:rPr>
          <w:rFonts w:ascii="VIC" w:hAnsi="VIC"/>
        </w:rPr>
        <w:t>The workbook is ‘protected’ by default. This is just to prevent accidental deletion of critical fields.</w:t>
      </w:r>
    </w:p>
    <w:p w14:paraId="195BD986" w14:textId="75BD38BF" w:rsidR="00AC3431" w:rsidRPr="006875D5" w:rsidRDefault="004E5C97" w:rsidP="00A803D5">
      <w:pPr>
        <w:rPr>
          <w:rFonts w:ascii="VIC" w:hAnsi="VIC"/>
        </w:rPr>
      </w:pPr>
      <w:r w:rsidRPr="006875D5">
        <w:rPr>
          <w:rFonts w:ascii="VIC" w:hAnsi="VIC"/>
        </w:rPr>
        <w:t>To make your progress report accessible for web publishing you may need to ‘unprotect’ it.</w:t>
      </w:r>
      <w:r w:rsidR="00AC3431" w:rsidRPr="006875D5">
        <w:rPr>
          <w:rFonts w:ascii="VIC" w:hAnsi="VIC"/>
        </w:rPr>
        <w:t xml:space="preserve"> Follow the below steps.</w:t>
      </w:r>
    </w:p>
    <w:p w14:paraId="11F636EB" w14:textId="3F9839C3" w:rsidR="00AC3431" w:rsidRPr="006875D5" w:rsidRDefault="00AC3431" w:rsidP="00DE4829">
      <w:pPr>
        <w:pStyle w:val="ListParagraph"/>
        <w:numPr>
          <w:ilvl w:val="0"/>
          <w:numId w:val="4"/>
        </w:numPr>
        <w:rPr>
          <w:rFonts w:ascii="VIC" w:hAnsi="VIC"/>
        </w:rPr>
      </w:pPr>
      <w:r w:rsidRPr="006875D5">
        <w:rPr>
          <w:rFonts w:ascii="VIC" w:hAnsi="VIC"/>
        </w:rPr>
        <w:t xml:space="preserve">In Excel, open the </w:t>
      </w:r>
      <w:r w:rsidRPr="006875D5">
        <w:rPr>
          <w:rFonts w:ascii="VIC" w:hAnsi="VIC"/>
          <w:b/>
          <w:bCs/>
        </w:rPr>
        <w:t xml:space="preserve">File </w:t>
      </w:r>
      <w:r w:rsidRPr="006875D5">
        <w:rPr>
          <w:rFonts w:ascii="VIC" w:hAnsi="VIC"/>
        </w:rPr>
        <w:t>menu.</w:t>
      </w:r>
    </w:p>
    <w:p w14:paraId="7D06E028" w14:textId="3BBA8DC0" w:rsidR="00AC3431" w:rsidRPr="006875D5" w:rsidRDefault="007F4A14" w:rsidP="00A803D5">
      <w:pPr>
        <w:rPr>
          <w:rFonts w:ascii="VIC" w:hAnsi="VIC"/>
        </w:rPr>
      </w:pPr>
      <w:r w:rsidRPr="006875D5">
        <w:rPr>
          <w:rFonts w:ascii="VIC" w:hAnsi="VIC"/>
        </w:rPr>
        <w:drawing>
          <wp:inline distT="0" distB="0" distL="0" distR="0" wp14:anchorId="7EDCCC39" wp14:editId="3CC45CED">
            <wp:extent cx="5731510" cy="3383280"/>
            <wp:effectExtent l="0" t="0" r="2540" b="7620"/>
            <wp:docPr id="1034652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52448" name=""/>
                    <pic:cNvPicPr/>
                  </pic:nvPicPr>
                  <pic:blipFill>
                    <a:blip r:embed="rId11"/>
                    <a:stretch>
                      <a:fillRect/>
                    </a:stretch>
                  </pic:blipFill>
                  <pic:spPr>
                    <a:xfrm>
                      <a:off x="0" y="0"/>
                      <a:ext cx="5731510" cy="3383280"/>
                    </a:xfrm>
                    <a:prstGeom prst="rect">
                      <a:avLst/>
                    </a:prstGeom>
                  </pic:spPr>
                </pic:pic>
              </a:graphicData>
            </a:graphic>
          </wp:inline>
        </w:drawing>
      </w:r>
    </w:p>
    <w:p w14:paraId="7DA596F7" w14:textId="755287F6" w:rsidR="007F4A14" w:rsidRPr="006875D5" w:rsidRDefault="007F4A14" w:rsidP="00DE4829">
      <w:pPr>
        <w:pStyle w:val="ListParagraph"/>
        <w:numPr>
          <w:ilvl w:val="0"/>
          <w:numId w:val="4"/>
        </w:numPr>
        <w:rPr>
          <w:rFonts w:ascii="VIC" w:hAnsi="VIC"/>
        </w:rPr>
      </w:pPr>
      <w:r w:rsidRPr="006875D5">
        <w:rPr>
          <w:rFonts w:ascii="VIC" w:hAnsi="VIC"/>
        </w:rPr>
        <w:t xml:space="preserve">Select </w:t>
      </w:r>
      <w:r w:rsidRPr="006875D5">
        <w:rPr>
          <w:rFonts w:ascii="VIC" w:hAnsi="VIC"/>
          <w:b/>
          <w:bCs/>
        </w:rPr>
        <w:t>Info</w:t>
      </w:r>
      <w:r w:rsidRPr="006875D5">
        <w:rPr>
          <w:rFonts w:ascii="VIC" w:hAnsi="VIC"/>
        </w:rPr>
        <w:t xml:space="preserve">, then </w:t>
      </w:r>
      <w:r w:rsidR="006B55C0" w:rsidRPr="006875D5">
        <w:rPr>
          <w:rFonts w:ascii="VIC" w:hAnsi="VIC"/>
        </w:rPr>
        <w:t>click on ‘Unprotect’ against each sheet in the workbook.</w:t>
      </w:r>
    </w:p>
    <w:p w14:paraId="6B5E99E2" w14:textId="78B65F86" w:rsidR="00DE4829" w:rsidRPr="006875D5" w:rsidRDefault="00DE4829" w:rsidP="007F4A14">
      <w:pPr>
        <w:rPr>
          <w:rFonts w:ascii="VIC" w:hAnsi="VIC"/>
        </w:rPr>
      </w:pPr>
      <w:r w:rsidRPr="006875D5">
        <w:rPr>
          <w:rFonts w:ascii="VIC" w:hAnsi="VIC"/>
        </w:rPr>
        <w:lastRenderedPageBreak/>
        <w:drawing>
          <wp:inline distT="0" distB="0" distL="0" distR="0" wp14:anchorId="077B950A" wp14:editId="1B039464">
            <wp:extent cx="5731510" cy="3322955"/>
            <wp:effectExtent l="0" t="0" r="2540" b="0"/>
            <wp:docPr id="733175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75346" name=""/>
                    <pic:cNvPicPr/>
                  </pic:nvPicPr>
                  <pic:blipFill>
                    <a:blip r:embed="rId12"/>
                    <a:stretch>
                      <a:fillRect/>
                    </a:stretch>
                  </pic:blipFill>
                  <pic:spPr>
                    <a:xfrm>
                      <a:off x="0" y="0"/>
                      <a:ext cx="5731510" cy="3322955"/>
                    </a:xfrm>
                    <a:prstGeom prst="rect">
                      <a:avLst/>
                    </a:prstGeom>
                  </pic:spPr>
                </pic:pic>
              </a:graphicData>
            </a:graphic>
          </wp:inline>
        </w:drawing>
      </w:r>
    </w:p>
    <w:p w14:paraId="10932B71" w14:textId="22AEB25A" w:rsidR="006875D5" w:rsidRPr="006875D5" w:rsidRDefault="006875D5" w:rsidP="007F4A14">
      <w:pPr>
        <w:rPr>
          <w:rFonts w:ascii="VIC" w:hAnsi="VIC"/>
        </w:rPr>
      </w:pPr>
      <w:r w:rsidRPr="006875D5">
        <w:rPr>
          <w:rFonts w:ascii="VIC" w:hAnsi="VIC"/>
        </w:rPr>
        <w:t>You should now be able to amend your progress report for accessibility through following the below steps.</w:t>
      </w:r>
    </w:p>
    <w:p w14:paraId="4BA1CB5C" w14:textId="542DD733" w:rsidR="004976B8" w:rsidRPr="006875D5" w:rsidRDefault="004976B8" w:rsidP="00A803D5">
      <w:pPr>
        <w:pStyle w:val="Heading2"/>
        <w:rPr>
          <w:rFonts w:ascii="VIC" w:hAnsi="VIC"/>
        </w:rPr>
      </w:pPr>
      <w:r w:rsidRPr="006875D5">
        <w:rPr>
          <w:rFonts w:ascii="VIC" w:hAnsi="VIC"/>
        </w:rPr>
        <w:t>Run the accessibility checker</w:t>
      </w:r>
    </w:p>
    <w:p w14:paraId="22D71CB3" w14:textId="03C4E0B3" w:rsidR="00726FFA" w:rsidRPr="006D3556" w:rsidRDefault="00D13D26" w:rsidP="006D3556">
      <w:pPr>
        <w:pStyle w:val="ListParagraph"/>
        <w:numPr>
          <w:ilvl w:val="0"/>
          <w:numId w:val="5"/>
        </w:numPr>
        <w:rPr>
          <w:rFonts w:ascii="VIC" w:hAnsi="VIC"/>
        </w:rPr>
      </w:pPr>
      <w:r w:rsidRPr="006D3556">
        <w:rPr>
          <w:rFonts w:ascii="VIC" w:hAnsi="VIC"/>
        </w:rPr>
        <w:t xml:space="preserve"> </w:t>
      </w:r>
      <w:r w:rsidR="00781019" w:rsidRPr="006D3556">
        <w:rPr>
          <w:rFonts w:ascii="VIC" w:hAnsi="VIC"/>
        </w:rPr>
        <w:t xml:space="preserve">In Excel, open the </w:t>
      </w:r>
      <w:r w:rsidR="004976B8" w:rsidRPr="006D3556">
        <w:rPr>
          <w:rFonts w:ascii="VIC" w:hAnsi="VIC"/>
          <w:b/>
          <w:bCs/>
        </w:rPr>
        <w:t>F</w:t>
      </w:r>
      <w:r w:rsidR="00781019" w:rsidRPr="006D3556">
        <w:rPr>
          <w:rFonts w:ascii="VIC" w:hAnsi="VIC"/>
          <w:b/>
          <w:bCs/>
        </w:rPr>
        <w:t>ile</w:t>
      </w:r>
      <w:r w:rsidR="00781019" w:rsidRPr="006D3556">
        <w:rPr>
          <w:rFonts w:ascii="VIC" w:hAnsi="VIC"/>
        </w:rPr>
        <w:t xml:space="preserve"> menu. </w:t>
      </w:r>
    </w:p>
    <w:p w14:paraId="77528E53" w14:textId="77B37883" w:rsidR="00781019" w:rsidRPr="006875D5" w:rsidRDefault="00531173">
      <w:pPr>
        <w:rPr>
          <w:rFonts w:ascii="VIC" w:hAnsi="VIC"/>
        </w:rPr>
      </w:pPr>
      <w:r w:rsidRPr="006875D5">
        <w:rPr>
          <w:rFonts w:ascii="VIC" w:hAnsi="VIC"/>
        </w:rPr>
        <w:drawing>
          <wp:inline distT="0" distB="0" distL="0" distR="0" wp14:anchorId="4B0B34CC" wp14:editId="3B233419">
            <wp:extent cx="5731510" cy="3383280"/>
            <wp:effectExtent l="0" t="0" r="2540" b="7620"/>
            <wp:docPr id="349240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52448" name=""/>
                    <pic:cNvPicPr/>
                  </pic:nvPicPr>
                  <pic:blipFill>
                    <a:blip r:embed="rId11"/>
                    <a:stretch>
                      <a:fillRect/>
                    </a:stretch>
                  </pic:blipFill>
                  <pic:spPr>
                    <a:xfrm>
                      <a:off x="0" y="0"/>
                      <a:ext cx="5731510" cy="3383280"/>
                    </a:xfrm>
                    <a:prstGeom prst="rect">
                      <a:avLst/>
                    </a:prstGeom>
                  </pic:spPr>
                </pic:pic>
              </a:graphicData>
            </a:graphic>
          </wp:inline>
        </w:drawing>
      </w:r>
    </w:p>
    <w:p w14:paraId="0251811C" w14:textId="75EB460E" w:rsidR="00781019" w:rsidRPr="006D3556" w:rsidRDefault="00781019" w:rsidP="006D3556">
      <w:pPr>
        <w:pStyle w:val="ListParagraph"/>
        <w:numPr>
          <w:ilvl w:val="0"/>
          <w:numId w:val="5"/>
        </w:numPr>
        <w:rPr>
          <w:rFonts w:ascii="VIC" w:hAnsi="VIC"/>
        </w:rPr>
      </w:pPr>
      <w:r w:rsidRPr="006D3556">
        <w:rPr>
          <w:rFonts w:ascii="VIC" w:hAnsi="VIC"/>
        </w:rPr>
        <w:t xml:space="preserve">Select </w:t>
      </w:r>
      <w:r w:rsidRPr="006D3556">
        <w:rPr>
          <w:rFonts w:ascii="VIC" w:hAnsi="VIC"/>
          <w:b/>
          <w:bCs/>
        </w:rPr>
        <w:t>Info</w:t>
      </w:r>
      <w:r w:rsidRPr="006D3556">
        <w:rPr>
          <w:rFonts w:ascii="VIC" w:hAnsi="VIC"/>
        </w:rPr>
        <w:t xml:space="preserve">, then </w:t>
      </w:r>
      <w:r w:rsidRPr="006D3556">
        <w:rPr>
          <w:rFonts w:ascii="VIC" w:hAnsi="VIC"/>
          <w:b/>
          <w:bCs/>
        </w:rPr>
        <w:t>Check for Issues</w:t>
      </w:r>
      <w:r w:rsidRPr="006D3556">
        <w:rPr>
          <w:rFonts w:ascii="VIC" w:hAnsi="VIC"/>
        </w:rPr>
        <w:t xml:space="preserve">. </w:t>
      </w:r>
    </w:p>
    <w:p w14:paraId="463A6FA4" w14:textId="161A51E1" w:rsidR="00781019" w:rsidRPr="006875D5" w:rsidRDefault="006D3556">
      <w:pPr>
        <w:rPr>
          <w:rFonts w:ascii="VIC" w:hAnsi="VIC"/>
        </w:rPr>
      </w:pPr>
      <w:r w:rsidRPr="006D3556">
        <w:rPr>
          <w:rFonts w:ascii="VIC" w:hAnsi="VIC"/>
        </w:rPr>
        <w:lastRenderedPageBreak/>
        <w:drawing>
          <wp:inline distT="0" distB="0" distL="0" distR="0" wp14:anchorId="72FB5F1D" wp14:editId="7D075AD1">
            <wp:extent cx="3179083" cy="3890963"/>
            <wp:effectExtent l="0" t="0" r="2540" b="0"/>
            <wp:docPr id="1738910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10923" name=""/>
                    <pic:cNvPicPr/>
                  </pic:nvPicPr>
                  <pic:blipFill>
                    <a:blip r:embed="rId13"/>
                    <a:stretch>
                      <a:fillRect/>
                    </a:stretch>
                  </pic:blipFill>
                  <pic:spPr>
                    <a:xfrm>
                      <a:off x="0" y="0"/>
                      <a:ext cx="3186756" cy="3900354"/>
                    </a:xfrm>
                    <a:prstGeom prst="rect">
                      <a:avLst/>
                    </a:prstGeom>
                  </pic:spPr>
                </pic:pic>
              </a:graphicData>
            </a:graphic>
          </wp:inline>
        </w:drawing>
      </w:r>
    </w:p>
    <w:p w14:paraId="4EABCFB6" w14:textId="2E9C1327" w:rsidR="00781019" w:rsidRPr="006875D5" w:rsidRDefault="00781019">
      <w:pPr>
        <w:rPr>
          <w:rFonts w:ascii="VIC" w:hAnsi="VIC"/>
        </w:rPr>
      </w:pPr>
      <w:r w:rsidRPr="006875D5">
        <w:rPr>
          <w:rFonts w:ascii="VIC" w:hAnsi="VIC"/>
        </w:rPr>
        <w:t>The Accessibility Assistant will open on the right of your screen. It will show you issues that need to be addressed, and how to fix them. This may look different, depending on which version of Excel you are using. It might list these as ‘errors’ and ‘</w:t>
      </w:r>
      <w:proofErr w:type="gramStart"/>
      <w:r w:rsidRPr="006875D5">
        <w:rPr>
          <w:rFonts w:ascii="VIC" w:hAnsi="VIC"/>
        </w:rPr>
        <w:t>warnings’</w:t>
      </w:r>
      <w:proofErr w:type="gramEnd"/>
      <w:r w:rsidRPr="006875D5">
        <w:rPr>
          <w:rFonts w:ascii="VIC" w:hAnsi="VIC"/>
        </w:rPr>
        <w:t xml:space="preserve">.  </w:t>
      </w:r>
    </w:p>
    <w:p w14:paraId="711E743C" w14:textId="15FFACB4" w:rsidR="00781019" w:rsidRPr="006875D5" w:rsidRDefault="00781019">
      <w:pPr>
        <w:rPr>
          <w:rFonts w:ascii="VIC" w:hAnsi="VIC"/>
        </w:rPr>
      </w:pPr>
      <w:r w:rsidRPr="006875D5">
        <w:rPr>
          <w:rFonts w:ascii="VIC" w:hAnsi="VIC"/>
        </w:rPr>
        <w:t xml:space="preserve">We are aware of 2 issues in the template that you can easily fix. </w:t>
      </w:r>
    </w:p>
    <w:p w14:paraId="3B5A75F9" w14:textId="50EF2B56" w:rsidR="00781019" w:rsidRPr="006875D5" w:rsidRDefault="00781019" w:rsidP="00781019">
      <w:pPr>
        <w:pStyle w:val="Heading2"/>
        <w:rPr>
          <w:rFonts w:ascii="VIC" w:hAnsi="VIC"/>
        </w:rPr>
      </w:pPr>
      <w:r w:rsidRPr="006875D5">
        <w:rPr>
          <w:rFonts w:ascii="VIC" w:hAnsi="VIC"/>
        </w:rPr>
        <w:t>Hard-to-read text contrast</w:t>
      </w:r>
    </w:p>
    <w:p w14:paraId="521155A2" w14:textId="7E0F0F19" w:rsidR="00781019" w:rsidRPr="006875D5" w:rsidRDefault="00781019" w:rsidP="00781019">
      <w:pPr>
        <w:rPr>
          <w:rFonts w:ascii="VIC" w:hAnsi="VIC"/>
        </w:rPr>
      </w:pPr>
      <w:r w:rsidRPr="006875D5">
        <w:rPr>
          <w:rFonts w:ascii="VIC" w:hAnsi="VIC"/>
        </w:rPr>
        <w:t xml:space="preserve">This issue occurs in tab </w:t>
      </w:r>
      <w:r w:rsidRPr="006875D5">
        <w:rPr>
          <w:rFonts w:ascii="VIC" w:hAnsi="VIC"/>
          <w:b/>
          <w:bCs/>
        </w:rPr>
        <w:t>1 GIA</w:t>
      </w:r>
      <w:r w:rsidRPr="006875D5">
        <w:rPr>
          <w:rFonts w:ascii="VIC" w:hAnsi="VIC"/>
        </w:rPr>
        <w:t xml:space="preserve"> and tab </w:t>
      </w:r>
      <w:r w:rsidRPr="006875D5">
        <w:rPr>
          <w:rFonts w:ascii="VIC" w:hAnsi="VIC"/>
          <w:b/>
          <w:bCs/>
        </w:rPr>
        <w:t>2.1 Strategies and measures</w:t>
      </w:r>
      <w:r w:rsidRPr="006875D5">
        <w:rPr>
          <w:rFonts w:ascii="VIC" w:hAnsi="VIC"/>
        </w:rPr>
        <w:t xml:space="preserve">. </w:t>
      </w:r>
    </w:p>
    <w:p w14:paraId="706A9D0B" w14:textId="0B1203F3" w:rsidR="00781019" w:rsidRPr="006875D5" w:rsidRDefault="009F5098" w:rsidP="00781019">
      <w:pPr>
        <w:rPr>
          <w:rFonts w:ascii="VIC" w:hAnsi="VIC"/>
        </w:rPr>
      </w:pPr>
      <w:r w:rsidRPr="006875D5">
        <w:rPr>
          <w:rFonts w:ascii="VIC" w:hAnsi="VIC"/>
          <w:noProof/>
        </w:rPr>
        <w:drawing>
          <wp:inline distT="0" distB="0" distL="0" distR="0" wp14:anchorId="4D2E3CD8" wp14:editId="74D4A77C">
            <wp:extent cx="5731510" cy="349885"/>
            <wp:effectExtent l="0" t="0" r="2540" b="0"/>
            <wp:docPr id="1684267721" name="Picture 1" descr="Screenshot showing 2 rows in an Excel document, with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67721" name="Picture 1" descr="Screenshot showing 2 rows in an Excel document, with text on a black background"/>
                    <pic:cNvPicPr/>
                  </pic:nvPicPr>
                  <pic:blipFill>
                    <a:blip r:embed="rId14"/>
                    <a:stretch>
                      <a:fillRect/>
                    </a:stretch>
                  </pic:blipFill>
                  <pic:spPr>
                    <a:xfrm>
                      <a:off x="0" y="0"/>
                      <a:ext cx="5731510" cy="349885"/>
                    </a:xfrm>
                    <a:prstGeom prst="rect">
                      <a:avLst/>
                    </a:prstGeom>
                  </pic:spPr>
                </pic:pic>
              </a:graphicData>
            </a:graphic>
          </wp:inline>
        </w:drawing>
      </w:r>
    </w:p>
    <w:p w14:paraId="3B71C580" w14:textId="771A9890" w:rsidR="00781019" w:rsidRPr="006875D5" w:rsidRDefault="009F5098" w:rsidP="00781019">
      <w:pPr>
        <w:rPr>
          <w:rFonts w:ascii="VIC" w:hAnsi="VIC"/>
        </w:rPr>
      </w:pPr>
      <w:r w:rsidRPr="006875D5">
        <w:rPr>
          <w:rFonts w:ascii="VIC" w:hAnsi="VIC"/>
        </w:rPr>
        <w:t xml:space="preserve">There are 2 rows with a black fill colour, as above. </w:t>
      </w:r>
    </w:p>
    <w:p w14:paraId="271511E0" w14:textId="70EC1C85" w:rsidR="009F5098" w:rsidRPr="006875D5" w:rsidRDefault="0032525F" w:rsidP="00781019">
      <w:pPr>
        <w:rPr>
          <w:rFonts w:ascii="VIC" w:hAnsi="VIC"/>
        </w:rPr>
      </w:pPr>
      <w:r w:rsidRPr="006875D5">
        <w:rPr>
          <w:rFonts w:ascii="VIC" w:hAnsi="VIC"/>
        </w:rPr>
        <w:t xml:space="preserve">Option 1. </w:t>
      </w:r>
      <w:r w:rsidR="00F36564" w:rsidRPr="006875D5">
        <w:rPr>
          <w:rFonts w:ascii="VIC" w:hAnsi="VIC"/>
        </w:rPr>
        <w:t>D</w:t>
      </w:r>
      <w:r w:rsidR="009F5098" w:rsidRPr="006875D5">
        <w:rPr>
          <w:rFonts w:ascii="VIC" w:hAnsi="VIC"/>
        </w:rPr>
        <w:t>elete</w:t>
      </w:r>
      <w:r w:rsidR="003D77D9" w:rsidRPr="006875D5">
        <w:rPr>
          <w:rFonts w:ascii="VIC" w:hAnsi="VIC"/>
        </w:rPr>
        <w:t xml:space="preserve"> </w:t>
      </w:r>
      <w:r w:rsidR="009F5098" w:rsidRPr="006875D5">
        <w:rPr>
          <w:rFonts w:ascii="VIC" w:hAnsi="VIC"/>
        </w:rPr>
        <w:t>before publishing</w:t>
      </w:r>
      <w:r w:rsidR="00F36564" w:rsidRPr="006875D5">
        <w:rPr>
          <w:rFonts w:ascii="VIC" w:hAnsi="VIC"/>
        </w:rPr>
        <w:t>, as this is an instruction for filling in the template</w:t>
      </w:r>
      <w:r w:rsidR="009F5098" w:rsidRPr="006875D5">
        <w:rPr>
          <w:rFonts w:ascii="VIC" w:hAnsi="VIC"/>
        </w:rPr>
        <w:t>. You can either delete the rows</w:t>
      </w:r>
      <w:r w:rsidR="00A53006">
        <w:rPr>
          <w:rFonts w:ascii="VIC" w:hAnsi="VIC"/>
        </w:rPr>
        <w:t xml:space="preserve"> individually</w:t>
      </w:r>
      <w:r w:rsidR="009F5098" w:rsidRPr="006875D5">
        <w:rPr>
          <w:rFonts w:ascii="VIC" w:hAnsi="VIC"/>
        </w:rPr>
        <w:t xml:space="preserve">, or the text. </w:t>
      </w:r>
    </w:p>
    <w:p w14:paraId="10A80C27" w14:textId="7297F0BE" w:rsidR="009F5098" w:rsidRPr="006875D5" w:rsidRDefault="00F36564" w:rsidP="00781019">
      <w:pPr>
        <w:rPr>
          <w:rFonts w:ascii="VIC" w:hAnsi="VIC"/>
        </w:rPr>
      </w:pPr>
      <w:r w:rsidRPr="006875D5">
        <w:rPr>
          <w:rFonts w:ascii="VIC" w:hAnsi="VIC"/>
        </w:rPr>
        <w:t>Option 2: F</w:t>
      </w:r>
      <w:r w:rsidR="009F5098" w:rsidRPr="006875D5">
        <w:rPr>
          <w:rFonts w:ascii="VIC" w:hAnsi="VIC"/>
        </w:rPr>
        <w:t>ollow the recommendation of the accessibility assistant to change the text colour</w:t>
      </w:r>
      <w:r w:rsidR="006224E6" w:rsidRPr="006875D5">
        <w:rPr>
          <w:rFonts w:ascii="VIC" w:hAnsi="VIC"/>
        </w:rPr>
        <w:t>.</w:t>
      </w:r>
    </w:p>
    <w:p w14:paraId="6FB9C3C7" w14:textId="40D3AED0" w:rsidR="003D77D9" w:rsidRPr="006875D5" w:rsidRDefault="00DF6BB9" w:rsidP="00781019">
      <w:pPr>
        <w:rPr>
          <w:rFonts w:ascii="VIC" w:hAnsi="VIC"/>
        </w:rPr>
      </w:pPr>
      <w:r w:rsidRPr="00DF6BB9">
        <w:rPr>
          <w:rFonts w:ascii="VIC" w:hAnsi="VIC"/>
        </w:rPr>
        <w:lastRenderedPageBreak/>
        <w:drawing>
          <wp:inline distT="0" distB="0" distL="0" distR="0" wp14:anchorId="13E6405A" wp14:editId="34A508D1">
            <wp:extent cx="2519363" cy="2828528"/>
            <wp:effectExtent l="0" t="0" r="0" b="0"/>
            <wp:docPr id="1392162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62142" name=""/>
                    <pic:cNvPicPr/>
                  </pic:nvPicPr>
                  <pic:blipFill>
                    <a:blip r:embed="rId15"/>
                    <a:stretch>
                      <a:fillRect/>
                    </a:stretch>
                  </pic:blipFill>
                  <pic:spPr>
                    <a:xfrm>
                      <a:off x="0" y="0"/>
                      <a:ext cx="2521710" cy="2831163"/>
                    </a:xfrm>
                    <a:prstGeom prst="rect">
                      <a:avLst/>
                    </a:prstGeom>
                  </pic:spPr>
                </pic:pic>
              </a:graphicData>
            </a:graphic>
          </wp:inline>
        </w:drawing>
      </w:r>
    </w:p>
    <w:p w14:paraId="7D3F5D4B" w14:textId="77777777" w:rsidR="006224E6" w:rsidRPr="006875D5" w:rsidRDefault="006224E6" w:rsidP="006224E6">
      <w:pPr>
        <w:pStyle w:val="ListParagraph"/>
        <w:numPr>
          <w:ilvl w:val="0"/>
          <w:numId w:val="1"/>
        </w:numPr>
        <w:rPr>
          <w:rFonts w:ascii="VIC" w:hAnsi="VIC"/>
        </w:rPr>
      </w:pPr>
      <w:r w:rsidRPr="006875D5">
        <w:rPr>
          <w:rFonts w:ascii="VIC" w:hAnsi="VIC"/>
        </w:rPr>
        <w:t xml:space="preserve">Click on the issue (where it shows the number 2). </w:t>
      </w:r>
    </w:p>
    <w:p w14:paraId="02EB1045" w14:textId="77777777" w:rsidR="006224E6" w:rsidRPr="006875D5" w:rsidRDefault="006224E6" w:rsidP="006224E6">
      <w:pPr>
        <w:pStyle w:val="ListParagraph"/>
        <w:numPr>
          <w:ilvl w:val="0"/>
          <w:numId w:val="1"/>
        </w:numPr>
        <w:rPr>
          <w:rFonts w:ascii="VIC" w:hAnsi="VIC"/>
        </w:rPr>
      </w:pPr>
      <w:r w:rsidRPr="006875D5">
        <w:rPr>
          <w:rFonts w:ascii="VIC" w:hAnsi="VIC"/>
        </w:rPr>
        <w:t xml:space="preserve">Select a colour. </w:t>
      </w:r>
    </w:p>
    <w:p w14:paraId="0EDBCAA9" w14:textId="77777777" w:rsidR="006224E6" w:rsidRPr="006875D5" w:rsidRDefault="006224E6" w:rsidP="006224E6">
      <w:pPr>
        <w:pStyle w:val="ListParagraph"/>
        <w:numPr>
          <w:ilvl w:val="0"/>
          <w:numId w:val="1"/>
        </w:numPr>
        <w:rPr>
          <w:rFonts w:ascii="VIC" w:hAnsi="VIC"/>
        </w:rPr>
      </w:pPr>
      <w:r w:rsidRPr="006875D5">
        <w:rPr>
          <w:rFonts w:ascii="VIC" w:hAnsi="VIC"/>
        </w:rPr>
        <w:t xml:space="preserve">It will then take you to the next instance to fix. </w:t>
      </w:r>
    </w:p>
    <w:p w14:paraId="6DCE6C01" w14:textId="6CFEB270" w:rsidR="009F5098" w:rsidRPr="006875D5" w:rsidRDefault="00820DF2" w:rsidP="00781019">
      <w:pPr>
        <w:rPr>
          <w:rFonts w:ascii="VIC" w:hAnsi="VIC"/>
        </w:rPr>
      </w:pPr>
      <w:r w:rsidRPr="00820DF2">
        <w:rPr>
          <w:rFonts w:ascii="VIC" w:hAnsi="VIC"/>
        </w:rPr>
        <w:drawing>
          <wp:inline distT="0" distB="0" distL="0" distR="0" wp14:anchorId="021071B2" wp14:editId="0D8EE85B">
            <wp:extent cx="1904322" cy="2947988"/>
            <wp:effectExtent l="0" t="0" r="1270" b="5080"/>
            <wp:docPr id="66783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39489" name=""/>
                    <pic:cNvPicPr/>
                  </pic:nvPicPr>
                  <pic:blipFill>
                    <a:blip r:embed="rId16"/>
                    <a:stretch>
                      <a:fillRect/>
                    </a:stretch>
                  </pic:blipFill>
                  <pic:spPr>
                    <a:xfrm>
                      <a:off x="0" y="0"/>
                      <a:ext cx="1910372" cy="2957354"/>
                    </a:xfrm>
                    <a:prstGeom prst="rect">
                      <a:avLst/>
                    </a:prstGeom>
                  </pic:spPr>
                </pic:pic>
              </a:graphicData>
            </a:graphic>
          </wp:inline>
        </w:drawing>
      </w:r>
    </w:p>
    <w:p w14:paraId="038685C6" w14:textId="77777777" w:rsidR="003D77D9" w:rsidRPr="006875D5" w:rsidRDefault="003D77D9" w:rsidP="003D77D9">
      <w:pPr>
        <w:pStyle w:val="Heading2"/>
        <w:rPr>
          <w:rFonts w:ascii="VIC" w:hAnsi="VIC"/>
        </w:rPr>
      </w:pPr>
      <w:r w:rsidRPr="006875D5">
        <w:rPr>
          <w:rFonts w:ascii="VIC" w:hAnsi="VIC"/>
        </w:rPr>
        <w:t>Use of merged cells</w:t>
      </w:r>
    </w:p>
    <w:p w14:paraId="1BFFB55A" w14:textId="4F1BFC9B" w:rsidR="003478FB" w:rsidRPr="006875D5" w:rsidRDefault="003D77D9" w:rsidP="003D77D9">
      <w:pPr>
        <w:rPr>
          <w:rFonts w:ascii="VIC" w:hAnsi="VIC"/>
        </w:rPr>
      </w:pPr>
      <w:r w:rsidRPr="006875D5">
        <w:rPr>
          <w:rFonts w:ascii="VIC" w:hAnsi="VIC"/>
        </w:rPr>
        <w:t xml:space="preserve">This issue occurs in </w:t>
      </w:r>
      <w:r w:rsidRPr="006875D5">
        <w:rPr>
          <w:rFonts w:ascii="VIC" w:hAnsi="VIC"/>
          <w:b/>
          <w:bCs/>
        </w:rPr>
        <w:t xml:space="preserve">2.1 Strategies and measures </w:t>
      </w:r>
      <w:r w:rsidRPr="006875D5">
        <w:rPr>
          <w:rFonts w:ascii="VIC" w:hAnsi="VIC"/>
        </w:rPr>
        <w:t xml:space="preserve">and </w:t>
      </w:r>
      <w:r w:rsidRPr="006875D5">
        <w:rPr>
          <w:rFonts w:ascii="VIC" w:hAnsi="VIC"/>
          <w:b/>
          <w:bCs/>
        </w:rPr>
        <w:t>3 Indicators</w:t>
      </w:r>
      <w:r w:rsidRPr="006875D5">
        <w:rPr>
          <w:rFonts w:ascii="VIC" w:hAnsi="VIC"/>
        </w:rPr>
        <w:t xml:space="preserve">. </w:t>
      </w:r>
    </w:p>
    <w:p w14:paraId="28910020" w14:textId="77777777" w:rsidR="006224E6" w:rsidRDefault="003478FB" w:rsidP="003D77D9">
      <w:pPr>
        <w:rPr>
          <w:rFonts w:ascii="VIC" w:hAnsi="VIC"/>
        </w:rPr>
      </w:pPr>
      <w:r w:rsidRPr="006875D5">
        <w:rPr>
          <w:rFonts w:ascii="VIC" w:hAnsi="VIC"/>
        </w:rPr>
        <w:t xml:space="preserve">This is </w:t>
      </w:r>
      <w:r w:rsidR="004976B8" w:rsidRPr="006875D5">
        <w:rPr>
          <w:rFonts w:ascii="VIC" w:hAnsi="VIC"/>
        </w:rPr>
        <w:t xml:space="preserve">in </w:t>
      </w:r>
      <w:r w:rsidRPr="006875D5">
        <w:rPr>
          <w:rFonts w:ascii="VIC" w:hAnsi="VIC"/>
        </w:rPr>
        <w:t>a recommended field</w:t>
      </w:r>
      <w:r w:rsidR="006224E6" w:rsidRPr="006875D5">
        <w:rPr>
          <w:rFonts w:ascii="VIC" w:hAnsi="VIC"/>
        </w:rPr>
        <w:t xml:space="preserve">. </w:t>
      </w:r>
    </w:p>
    <w:p w14:paraId="79B036A4" w14:textId="1C805E9F" w:rsidR="00606D10" w:rsidRPr="006875D5" w:rsidRDefault="00606D10" w:rsidP="003D77D9">
      <w:pPr>
        <w:rPr>
          <w:rFonts w:ascii="VIC" w:hAnsi="VIC"/>
        </w:rPr>
      </w:pPr>
      <w:r w:rsidRPr="00606D10">
        <w:rPr>
          <w:rFonts w:ascii="VIC" w:hAnsi="VIC"/>
        </w:rPr>
        <w:lastRenderedPageBreak/>
        <w:drawing>
          <wp:inline distT="0" distB="0" distL="0" distR="0" wp14:anchorId="03BAC48B" wp14:editId="4627AE3C">
            <wp:extent cx="1871663" cy="3428199"/>
            <wp:effectExtent l="0" t="0" r="0" b="1270"/>
            <wp:docPr id="173784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41044" name=""/>
                    <pic:cNvPicPr/>
                  </pic:nvPicPr>
                  <pic:blipFill>
                    <a:blip r:embed="rId17"/>
                    <a:stretch>
                      <a:fillRect/>
                    </a:stretch>
                  </pic:blipFill>
                  <pic:spPr>
                    <a:xfrm>
                      <a:off x="0" y="0"/>
                      <a:ext cx="1880745" cy="3444833"/>
                    </a:xfrm>
                    <a:prstGeom prst="rect">
                      <a:avLst/>
                    </a:prstGeom>
                  </pic:spPr>
                </pic:pic>
              </a:graphicData>
            </a:graphic>
          </wp:inline>
        </w:drawing>
      </w:r>
    </w:p>
    <w:p w14:paraId="5A6DE412" w14:textId="5A58CEAC" w:rsidR="003478FB" w:rsidRPr="006875D5" w:rsidRDefault="006224E6" w:rsidP="003D77D9">
      <w:pPr>
        <w:rPr>
          <w:rFonts w:ascii="VIC" w:hAnsi="VIC"/>
        </w:rPr>
      </w:pPr>
      <w:r w:rsidRPr="006875D5">
        <w:rPr>
          <w:rFonts w:ascii="VIC" w:hAnsi="VIC"/>
        </w:rPr>
        <w:t xml:space="preserve">Option 1. </w:t>
      </w:r>
      <w:r w:rsidR="003478FB" w:rsidRPr="006875D5">
        <w:rPr>
          <w:rFonts w:ascii="VIC" w:hAnsi="VIC"/>
        </w:rPr>
        <w:t xml:space="preserve">If your organisation did not provide data in this field, you can delete the columns. You can also delete the example at the bottom where this issue occurs, as this does not need to be published. </w:t>
      </w:r>
    </w:p>
    <w:p w14:paraId="3FE6E75A" w14:textId="1B096452" w:rsidR="003D77D9" w:rsidRPr="006875D5" w:rsidRDefault="006224E6" w:rsidP="006224E6">
      <w:pPr>
        <w:rPr>
          <w:rFonts w:ascii="VIC" w:hAnsi="VIC"/>
        </w:rPr>
      </w:pPr>
      <w:r w:rsidRPr="006875D5">
        <w:rPr>
          <w:rFonts w:ascii="VIC" w:hAnsi="VIC"/>
        </w:rPr>
        <w:t>Option 2. In the Accessibility Assistant, click</w:t>
      </w:r>
      <w:r w:rsidR="003D77D9" w:rsidRPr="006875D5">
        <w:rPr>
          <w:rFonts w:ascii="VIC" w:hAnsi="VIC"/>
        </w:rPr>
        <w:t xml:space="preserve"> on ‘Split cells’ for each instance. </w:t>
      </w:r>
    </w:p>
    <w:p w14:paraId="3F8CC930" w14:textId="5CCE2F0D" w:rsidR="009F5098" w:rsidRPr="006875D5" w:rsidRDefault="00CA3CE2" w:rsidP="00781019">
      <w:pPr>
        <w:rPr>
          <w:rFonts w:ascii="VIC" w:hAnsi="VIC"/>
        </w:rPr>
      </w:pPr>
      <w:r w:rsidRPr="00CA3CE2">
        <w:rPr>
          <w:rFonts w:ascii="VIC" w:hAnsi="VIC"/>
        </w:rPr>
        <w:drawing>
          <wp:inline distT="0" distB="0" distL="0" distR="0" wp14:anchorId="6CEFF5E3" wp14:editId="21A7E542">
            <wp:extent cx="4333875" cy="3363003"/>
            <wp:effectExtent l="0" t="0" r="0" b="8890"/>
            <wp:docPr id="195542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20017" name=""/>
                    <pic:cNvPicPr/>
                  </pic:nvPicPr>
                  <pic:blipFill>
                    <a:blip r:embed="rId18"/>
                    <a:stretch>
                      <a:fillRect/>
                    </a:stretch>
                  </pic:blipFill>
                  <pic:spPr>
                    <a:xfrm>
                      <a:off x="0" y="0"/>
                      <a:ext cx="4342017" cy="3369321"/>
                    </a:xfrm>
                    <a:prstGeom prst="rect">
                      <a:avLst/>
                    </a:prstGeom>
                  </pic:spPr>
                </pic:pic>
              </a:graphicData>
            </a:graphic>
          </wp:inline>
        </w:drawing>
      </w:r>
    </w:p>
    <w:p w14:paraId="2CE7F961" w14:textId="5789E5EF" w:rsidR="003D77D9" w:rsidRPr="006875D5" w:rsidRDefault="003D77D9" w:rsidP="00781019">
      <w:pPr>
        <w:rPr>
          <w:rFonts w:ascii="VIC" w:hAnsi="VIC"/>
        </w:rPr>
      </w:pPr>
      <w:r w:rsidRPr="006875D5">
        <w:rPr>
          <w:rFonts w:ascii="VIC" w:hAnsi="VIC"/>
        </w:rPr>
        <w:t xml:space="preserve">This will separate the cells that have been merged. </w:t>
      </w:r>
    </w:p>
    <w:p w14:paraId="77A67515" w14:textId="4F62D39D" w:rsidR="003D77D9" w:rsidRPr="006875D5" w:rsidRDefault="003D77D9" w:rsidP="00781019">
      <w:pPr>
        <w:rPr>
          <w:rFonts w:ascii="VIC" w:hAnsi="VIC"/>
        </w:rPr>
      </w:pPr>
      <w:r w:rsidRPr="006875D5">
        <w:rPr>
          <w:rFonts w:ascii="VIC" w:hAnsi="VIC"/>
          <w:noProof/>
        </w:rPr>
        <w:lastRenderedPageBreak/>
        <w:drawing>
          <wp:inline distT="0" distB="0" distL="0" distR="0" wp14:anchorId="1D5D08C7" wp14:editId="4257D00F">
            <wp:extent cx="2382252" cy="2743200"/>
            <wp:effectExtent l="0" t="0" r="0" b="0"/>
            <wp:docPr id="1235575430" name="Picture 1" descr="Screenshot showing cells have been sp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75430" name="Picture 1" descr="Screenshot showing cells have been split"/>
                    <pic:cNvPicPr/>
                  </pic:nvPicPr>
                  <pic:blipFill>
                    <a:blip r:embed="rId19"/>
                    <a:stretch>
                      <a:fillRect/>
                    </a:stretch>
                  </pic:blipFill>
                  <pic:spPr>
                    <a:xfrm>
                      <a:off x="0" y="0"/>
                      <a:ext cx="2392704" cy="2755235"/>
                    </a:xfrm>
                    <a:prstGeom prst="rect">
                      <a:avLst/>
                    </a:prstGeom>
                  </pic:spPr>
                </pic:pic>
              </a:graphicData>
            </a:graphic>
          </wp:inline>
        </w:drawing>
      </w:r>
    </w:p>
    <w:p w14:paraId="7C7C759A" w14:textId="6046EEB2" w:rsidR="003478FB" w:rsidRPr="006875D5" w:rsidRDefault="00681000" w:rsidP="00781019">
      <w:pPr>
        <w:rPr>
          <w:rFonts w:ascii="VIC" w:hAnsi="VIC"/>
        </w:rPr>
      </w:pPr>
      <w:r w:rsidRPr="006875D5">
        <w:rPr>
          <w:rFonts w:ascii="VIC" w:hAnsi="VIC"/>
        </w:rPr>
        <w:t>You may want to copy and paste the text into each cell. You can do this by selecting the first cell, then dragging the bottom corner across the other cells.</w:t>
      </w:r>
    </w:p>
    <w:p w14:paraId="3A8423E7" w14:textId="455FFC88" w:rsidR="003478FB" w:rsidRPr="006875D5" w:rsidRDefault="001F58F2" w:rsidP="00781019">
      <w:pPr>
        <w:rPr>
          <w:rFonts w:ascii="VIC" w:hAnsi="VIC"/>
        </w:rPr>
      </w:pPr>
      <w:r w:rsidRPr="001F58F2">
        <w:rPr>
          <w:rFonts w:ascii="VIC" w:hAnsi="VIC"/>
        </w:rPr>
        <w:drawing>
          <wp:inline distT="0" distB="0" distL="0" distR="0" wp14:anchorId="0E67B484" wp14:editId="1A860009">
            <wp:extent cx="5731510" cy="2877820"/>
            <wp:effectExtent l="0" t="0" r="2540" b="0"/>
            <wp:docPr id="663238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38687" name=""/>
                    <pic:cNvPicPr/>
                  </pic:nvPicPr>
                  <pic:blipFill>
                    <a:blip r:embed="rId20"/>
                    <a:stretch>
                      <a:fillRect/>
                    </a:stretch>
                  </pic:blipFill>
                  <pic:spPr>
                    <a:xfrm>
                      <a:off x="0" y="0"/>
                      <a:ext cx="5731510" cy="2877820"/>
                    </a:xfrm>
                    <a:prstGeom prst="rect">
                      <a:avLst/>
                    </a:prstGeom>
                  </pic:spPr>
                </pic:pic>
              </a:graphicData>
            </a:graphic>
          </wp:inline>
        </w:drawing>
      </w:r>
    </w:p>
    <w:p w14:paraId="3152540C" w14:textId="01538479" w:rsidR="003478FB" w:rsidRPr="006875D5" w:rsidRDefault="003478FB" w:rsidP="00781019">
      <w:pPr>
        <w:rPr>
          <w:rFonts w:ascii="VIC" w:hAnsi="VIC"/>
        </w:rPr>
      </w:pPr>
      <w:r w:rsidRPr="006875D5">
        <w:rPr>
          <w:rFonts w:ascii="VIC" w:hAnsi="VIC"/>
        </w:rPr>
        <w:t xml:space="preserve">The Accessibility Assistant has found no further issues. </w:t>
      </w:r>
    </w:p>
    <w:p w14:paraId="02F7E1A6" w14:textId="2872106D" w:rsidR="00681000" w:rsidRPr="006875D5" w:rsidRDefault="00681000" w:rsidP="00681000">
      <w:pPr>
        <w:pStyle w:val="Heading1"/>
        <w:rPr>
          <w:rFonts w:ascii="VIC" w:hAnsi="VIC"/>
        </w:rPr>
      </w:pPr>
      <w:r w:rsidRPr="006875D5">
        <w:rPr>
          <w:rFonts w:ascii="VIC" w:hAnsi="VIC"/>
        </w:rPr>
        <w:t>Other options</w:t>
      </w:r>
    </w:p>
    <w:p w14:paraId="1253831B" w14:textId="77777777" w:rsidR="00681000" w:rsidRPr="006875D5" w:rsidRDefault="00681000" w:rsidP="005225F2">
      <w:pPr>
        <w:spacing w:before="100" w:beforeAutospacing="1" w:after="100" w:afterAutospacing="1" w:line="240" w:lineRule="auto"/>
        <w:rPr>
          <w:rFonts w:ascii="VIC" w:hAnsi="VIC"/>
        </w:rPr>
      </w:pPr>
      <w:r w:rsidRPr="006875D5">
        <w:rPr>
          <w:rFonts w:ascii="VIC" w:hAnsi="VIC"/>
        </w:rPr>
        <w:t>If these steps don’t work for you, or you encounter other accessibility issues you can:</w:t>
      </w:r>
    </w:p>
    <w:p w14:paraId="2AEB5708" w14:textId="3F7D92C6" w:rsidR="00D74A37" w:rsidRPr="006875D5" w:rsidRDefault="00D74A37" w:rsidP="00C750E6">
      <w:pPr>
        <w:pStyle w:val="ListParagraph"/>
        <w:numPr>
          <w:ilvl w:val="0"/>
          <w:numId w:val="3"/>
        </w:numPr>
        <w:spacing w:before="100" w:beforeAutospacing="1" w:after="100" w:afterAutospacing="1" w:line="240" w:lineRule="auto"/>
        <w:rPr>
          <w:rFonts w:ascii="VIC" w:hAnsi="VIC"/>
        </w:rPr>
      </w:pPr>
      <w:r w:rsidRPr="006875D5">
        <w:rPr>
          <w:rFonts w:ascii="VIC" w:hAnsi="VIC"/>
        </w:rPr>
        <w:t xml:space="preserve">Publish a </w:t>
      </w:r>
      <w:hyperlink r:id="rId21" w:anchor="avoid-using-documents" w:history="1">
        <w:r w:rsidRPr="006875D5">
          <w:rPr>
            <w:rStyle w:val="Hyperlink"/>
            <w:rFonts w:ascii="VIC" w:hAnsi="VIC"/>
          </w:rPr>
          <w:t>HTML summary</w:t>
        </w:r>
      </w:hyperlink>
      <w:r w:rsidRPr="006875D5">
        <w:rPr>
          <w:rFonts w:ascii="VIC" w:hAnsi="VIC"/>
        </w:rPr>
        <w:t xml:space="preserve"> of your progress report</w:t>
      </w:r>
      <w:r w:rsidR="00C750E6" w:rsidRPr="006875D5">
        <w:rPr>
          <w:rFonts w:ascii="VIC" w:hAnsi="VIC"/>
        </w:rPr>
        <w:t xml:space="preserve">, as well as the Excel file. </w:t>
      </w:r>
    </w:p>
    <w:p w14:paraId="5685238F" w14:textId="43CA1892" w:rsidR="00C750E6" w:rsidRPr="006875D5" w:rsidRDefault="00C750E6" w:rsidP="00C750E6">
      <w:pPr>
        <w:pStyle w:val="ListParagraph"/>
        <w:numPr>
          <w:ilvl w:val="0"/>
          <w:numId w:val="3"/>
        </w:numPr>
        <w:spacing w:before="100" w:beforeAutospacing="1" w:after="100" w:afterAutospacing="1" w:line="240" w:lineRule="auto"/>
        <w:rPr>
          <w:rFonts w:ascii="VIC" w:hAnsi="VIC"/>
        </w:rPr>
      </w:pPr>
      <w:r w:rsidRPr="006875D5">
        <w:rPr>
          <w:rFonts w:ascii="VIC" w:hAnsi="VIC"/>
        </w:rPr>
        <w:lastRenderedPageBreak/>
        <w:t>Add a</w:t>
      </w:r>
      <w:r w:rsidR="00D35592" w:rsidRPr="006875D5">
        <w:rPr>
          <w:rFonts w:ascii="VIC" w:hAnsi="VIC"/>
        </w:rPr>
        <w:t xml:space="preserve">n </w:t>
      </w:r>
      <w:hyperlink r:id="rId22" w:anchor="accessibility-notice-to-display-on-page" w:history="1">
        <w:r w:rsidR="00D35592" w:rsidRPr="006875D5">
          <w:rPr>
            <w:rStyle w:val="Hyperlink"/>
            <w:rFonts w:ascii="VIC" w:hAnsi="VIC"/>
          </w:rPr>
          <w:t>accessibility notice</w:t>
        </w:r>
      </w:hyperlink>
      <w:r w:rsidR="00D35592" w:rsidRPr="006875D5">
        <w:rPr>
          <w:rFonts w:ascii="VIC" w:hAnsi="VIC"/>
        </w:rPr>
        <w:t xml:space="preserve">. </w:t>
      </w:r>
    </w:p>
    <w:p w14:paraId="26A4BBDE" w14:textId="3E0C0826" w:rsidR="001B2448" w:rsidRPr="006875D5" w:rsidRDefault="001B2448" w:rsidP="001B2448">
      <w:pPr>
        <w:rPr>
          <w:rFonts w:ascii="VIC" w:hAnsi="VIC"/>
        </w:rPr>
      </w:pPr>
      <w:r w:rsidRPr="006875D5">
        <w:rPr>
          <w:rFonts w:ascii="VIC" w:hAnsi="VIC"/>
        </w:rPr>
        <w:t xml:space="preserve">Department of Families, Fairness and </w:t>
      </w:r>
      <w:r w:rsidR="00B438AD" w:rsidRPr="006875D5">
        <w:rPr>
          <w:rFonts w:ascii="VIC" w:hAnsi="VIC"/>
        </w:rPr>
        <w:t xml:space="preserve">Housing </w:t>
      </w:r>
      <w:r w:rsidR="00D35592" w:rsidRPr="006875D5">
        <w:rPr>
          <w:rFonts w:ascii="VIC" w:hAnsi="VIC"/>
        </w:rPr>
        <w:t>provides an</w:t>
      </w:r>
      <w:r w:rsidR="00B438AD" w:rsidRPr="006875D5">
        <w:rPr>
          <w:rFonts w:ascii="VIC" w:hAnsi="VIC"/>
        </w:rPr>
        <w:t xml:space="preserve"> example of </w:t>
      </w:r>
      <w:r w:rsidR="00D35592" w:rsidRPr="006875D5">
        <w:rPr>
          <w:rFonts w:ascii="VIC" w:hAnsi="VIC"/>
        </w:rPr>
        <w:t>both of these options</w:t>
      </w:r>
      <w:r w:rsidR="00B438AD" w:rsidRPr="006875D5">
        <w:rPr>
          <w:rFonts w:ascii="VIC" w:hAnsi="VIC"/>
        </w:rPr>
        <w:t xml:space="preserve">: </w:t>
      </w:r>
      <w:hyperlink r:id="rId23" w:history="1">
        <w:r w:rsidR="006D6C8A" w:rsidRPr="006875D5">
          <w:rPr>
            <w:rStyle w:val="Hyperlink"/>
            <w:rFonts w:ascii="VIC" w:hAnsi="VIC"/>
          </w:rPr>
          <w:t>https://www.dffh.vic.gov.au/publications/gender-equality-progress-report-2021-23</w:t>
        </w:r>
      </w:hyperlink>
    </w:p>
    <w:p w14:paraId="4A18B1FD" w14:textId="18485B82" w:rsidR="005225F2" w:rsidRDefault="005225F2" w:rsidP="005225F2">
      <w:pPr>
        <w:spacing w:before="100" w:beforeAutospacing="1" w:after="100" w:afterAutospacing="1" w:line="240" w:lineRule="auto"/>
        <w:rPr>
          <w:rFonts w:ascii="VIC" w:eastAsia="Times New Roman" w:hAnsi="VIC" w:cs="Calibri"/>
          <w:color w:val="011A3C"/>
          <w:lang w:eastAsia="en-AU"/>
        </w:rPr>
      </w:pPr>
      <w:r w:rsidRPr="006875D5">
        <w:rPr>
          <w:rFonts w:ascii="VIC" w:hAnsi="VIC"/>
        </w:rPr>
        <w:t xml:space="preserve">For more guidance see: </w:t>
      </w:r>
      <w:hyperlink r:id="rId24" w:history="1">
        <w:r w:rsidRPr="006875D5">
          <w:rPr>
            <w:rStyle w:val="Hyperlink"/>
            <w:rFonts w:ascii="VIC" w:eastAsia="Times New Roman" w:hAnsi="VIC" w:cs="Calibri"/>
            <w:lang w:eastAsia="en-AU"/>
          </w:rPr>
          <w:t>https://www.vic.gov.au/make-content-accessible</w:t>
        </w:r>
      </w:hyperlink>
      <w:r w:rsidRPr="006875D5">
        <w:rPr>
          <w:rFonts w:ascii="VIC" w:eastAsia="Times New Roman" w:hAnsi="VIC" w:cs="Calibri"/>
          <w:color w:val="011A3C"/>
          <w:lang w:eastAsia="en-AU"/>
        </w:rPr>
        <w:t xml:space="preserve">   </w:t>
      </w:r>
    </w:p>
    <w:p w14:paraId="06E433FA" w14:textId="0DDA1249" w:rsidR="00C04EFA" w:rsidRPr="006875D5" w:rsidRDefault="00C04EFA" w:rsidP="005225F2">
      <w:pPr>
        <w:spacing w:before="100" w:beforeAutospacing="1" w:after="100" w:afterAutospacing="1" w:line="240" w:lineRule="auto"/>
        <w:rPr>
          <w:rFonts w:ascii="VIC" w:eastAsia="Times New Roman" w:hAnsi="VIC" w:cs="Calibri"/>
          <w:color w:val="011A3C"/>
          <w:lang w:eastAsia="en-AU"/>
        </w:rPr>
      </w:pPr>
      <w:r>
        <w:rPr>
          <w:rFonts w:ascii="VIC" w:eastAsia="Times New Roman" w:hAnsi="VIC" w:cs="Calibri"/>
          <w:color w:val="011A3C"/>
          <w:lang w:eastAsia="en-AU"/>
        </w:rPr>
        <w:t>If you have any issues or queries</w:t>
      </w:r>
      <w:r w:rsidR="00C343A3">
        <w:rPr>
          <w:rFonts w:ascii="VIC" w:eastAsia="Times New Roman" w:hAnsi="VIC" w:cs="Calibri"/>
          <w:color w:val="011A3C"/>
          <w:lang w:eastAsia="en-AU"/>
        </w:rPr>
        <w:t>,</w:t>
      </w:r>
      <w:r>
        <w:rPr>
          <w:rFonts w:ascii="VIC" w:eastAsia="Times New Roman" w:hAnsi="VIC" w:cs="Calibri"/>
          <w:color w:val="011A3C"/>
          <w:lang w:eastAsia="en-AU"/>
        </w:rPr>
        <w:t xml:space="preserve"> please contact the Commission at </w:t>
      </w:r>
      <w:hyperlink r:id="rId25" w:history="1">
        <w:r w:rsidRPr="00F60BBA">
          <w:rPr>
            <w:rStyle w:val="Hyperlink"/>
            <w:rFonts w:ascii="VIC" w:eastAsia="Times New Roman" w:hAnsi="VIC" w:cs="Calibri"/>
            <w:lang w:eastAsia="en-AU"/>
          </w:rPr>
          <w:t>enquiries@genderequalitycommission.vic.gov.au</w:t>
        </w:r>
      </w:hyperlink>
      <w:r>
        <w:rPr>
          <w:rFonts w:ascii="VIC" w:eastAsia="Times New Roman" w:hAnsi="VIC" w:cs="Calibri"/>
          <w:color w:val="011A3C"/>
          <w:lang w:eastAsia="en-AU"/>
        </w:rPr>
        <w:t xml:space="preserve"> </w:t>
      </w:r>
    </w:p>
    <w:p w14:paraId="7C4D8207" w14:textId="30710C54" w:rsidR="005225F2" w:rsidRPr="006875D5" w:rsidRDefault="005225F2" w:rsidP="00781019">
      <w:pPr>
        <w:rPr>
          <w:rFonts w:ascii="VIC" w:hAnsi="VIC"/>
        </w:rPr>
      </w:pPr>
    </w:p>
    <w:sectPr w:rsidR="005225F2" w:rsidRPr="006875D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358AA" w14:textId="77777777" w:rsidR="004976B8" w:rsidRDefault="004976B8" w:rsidP="004976B8">
      <w:pPr>
        <w:spacing w:after="0" w:line="240" w:lineRule="auto"/>
      </w:pPr>
      <w:r>
        <w:separator/>
      </w:r>
    </w:p>
  </w:endnote>
  <w:endnote w:type="continuationSeparator" w:id="0">
    <w:p w14:paraId="4CD38612" w14:textId="77777777" w:rsidR="004976B8" w:rsidRDefault="004976B8" w:rsidP="004976B8">
      <w:pPr>
        <w:spacing w:after="0" w:line="240" w:lineRule="auto"/>
      </w:pPr>
      <w:r>
        <w:continuationSeparator/>
      </w:r>
    </w:p>
  </w:endnote>
  <w:endnote w:type="continuationNotice" w:id="1">
    <w:p w14:paraId="33F8D382" w14:textId="77777777" w:rsidR="001E0890" w:rsidRDefault="001E0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179048"/>
      <w:docPartObj>
        <w:docPartGallery w:val="Page Numbers (Bottom of Page)"/>
        <w:docPartUnique/>
      </w:docPartObj>
    </w:sdtPr>
    <w:sdtEndPr>
      <w:rPr>
        <w:noProof/>
      </w:rPr>
    </w:sdtEndPr>
    <w:sdtContent>
      <w:p w14:paraId="76769D98" w14:textId="1A7D2D09" w:rsidR="004976B8" w:rsidRDefault="0049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9A1F3" w14:textId="77777777" w:rsidR="004976B8" w:rsidRDefault="0049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12DE5" w14:textId="77777777" w:rsidR="004976B8" w:rsidRDefault="004976B8" w:rsidP="004976B8">
      <w:pPr>
        <w:spacing w:after="0" w:line="240" w:lineRule="auto"/>
      </w:pPr>
      <w:r>
        <w:separator/>
      </w:r>
    </w:p>
  </w:footnote>
  <w:footnote w:type="continuationSeparator" w:id="0">
    <w:p w14:paraId="68097844" w14:textId="77777777" w:rsidR="004976B8" w:rsidRDefault="004976B8" w:rsidP="004976B8">
      <w:pPr>
        <w:spacing w:after="0" w:line="240" w:lineRule="auto"/>
      </w:pPr>
      <w:r>
        <w:continuationSeparator/>
      </w:r>
    </w:p>
  </w:footnote>
  <w:footnote w:type="continuationNotice" w:id="1">
    <w:p w14:paraId="153F866F" w14:textId="77777777" w:rsidR="001E0890" w:rsidRDefault="001E08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84AD5"/>
    <w:multiLevelType w:val="hybridMultilevel"/>
    <w:tmpl w:val="C67AB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EE732B"/>
    <w:multiLevelType w:val="hybridMultilevel"/>
    <w:tmpl w:val="3470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15A11"/>
    <w:multiLevelType w:val="hybridMultilevel"/>
    <w:tmpl w:val="0C62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F263D0"/>
    <w:multiLevelType w:val="hybridMultilevel"/>
    <w:tmpl w:val="CCEA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F736E5"/>
    <w:multiLevelType w:val="hybridMultilevel"/>
    <w:tmpl w:val="2CC4C4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3764349">
    <w:abstractNumId w:val="1"/>
  </w:num>
  <w:num w:numId="2" w16cid:durableId="1205948480">
    <w:abstractNumId w:val="3"/>
  </w:num>
  <w:num w:numId="3" w16cid:durableId="1824392340">
    <w:abstractNumId w:val="2"/>
  </w:num>
  <w:num w:numId="4" w16cid:durableId="988479961">
    <w:abstractNumId w:val="4"/>
  </w:num>
  <w:num w:numId="5" w16cid:durableId="65877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19"/>
    <w:rsid w:val="000B0AF4"/>
    <w:rsid w:val="0018575E"/>
    <w:rsid w:val="001B2448"/>
    <w:rsid w:val="001E0890"/>
    <w:rsid w:val="001F58F2"/>
    <w:rsid w:val="00234C5E"/>
    <w:rsid w:val="00254A77"/>
    <w:rsid w:val="00293474"/>
    <w:rsid w:val="002A781F"/>
    <w:rsid w:val="002B2F17"/>
    <w:rsid w:val="0032525F"/>
    <w:rsid w:val="00341354"/>
    <w:rsid w:val="003478FB"/>
    <w:rsid w:val="00366E39"/>
    <w:rsid w:val="003D77D9"/>
    <w:rsid w:val="004976B8"/>
    <w:rsid w:val="004E5C97"/>
    <w:rsid w:val="005225F2"/>
    <w:rsid w:val="00531173"/>
    <w:rsid w:val="00606D10"/>
    <w:rsid w:val="006224E6"/>
    <w:rsid w:val="00650457"/>
    <w:rsid w:val="00681000"/>
    <w:rsid w:val="006875D5"/>
    <w:rsid w:val="006B55C0"/>
    <w:rsid w:val="006C192D"/>
    <w:rsid w:val="006C52A3"/>
    <w:rsid w:val="006D3556"/>
    <w:rsid w:val="006D6C8A"/>
    <w:rsid w:val="006F03F3"/>
    <w:rsid w:val="00704524"/>
    <w:rsid w:val="00726FFA"/>
    <w:rsid w:val="00781019"/>
    <w:rsid w:val="007F4A14"/>
    <w:rsid w:val="00820DF2"/>
    <w:rsid w:val="00876878"/>
    <w:rsid w:val="008B760A"/>
    <w:rsid w:val="009149E0"/>
    <w:rsid w:val="00982D1D"/>
    <w:rsid w:val="009F5098"/>
    <w:rsid w:val="00A53006"/>
    <w:rsid w:val="00A803D5"/>
    <w:rsid w:val="00AB248B"/>
    <w:rsid w:val="00AC3431"/>
    <w:rsid w:val="00B438AD"/>
    <w:rsid w:val="00B8759F"/>
    <w:rsid w:val="00BA35A6"/>
    <w:rsid w:val="00C04EFA"/>
    <w:rsid w:val="00C270B0"/>
    <w:rsid w:val="00C343A3"/>
    <w:rsid w:val="00C36883"/>
    <w:rsid w:val="00C750E6"/>
    <w:rsid w:val="00CA3CE2"/>
    <w:rsid w:val="00D13D26"/>
    <w:rsid w:val="00D35592"/>
    <w:rsid w:val="00D74A37"/>
    <w:rsid w:val="00D83A5D"/>
    <w:rsid w:val="00DC6733"/>
    <w:rsid w:val="00DE4829"/>
    <w:rsid w:val="00DF6BB9"/>
    <w:rsid w:val="00E07AC9"/>
    <w:rsid w:val="00F05DD5"/>
    <w:rsid w:val="00F36564"/>
    <w:rsid w:val="00F67DC3"/>
    <w:rsid w:val="00FF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52DA"/>
  <w15:chartTrackingRefBased/>
  <w15:docId w15:val="{62D3701E-D181-4A9D-B0C9-FDD0E02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81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0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0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81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19"/>
    <w:rPr>
      <w:rFonts w:eastAsiaTheme="majorEastAsia" w:cstheme="majorBidi"/>
      <w:color w:val="272727" w:themeColor="text1" w:themeTint="D8"/>
    </w:rPr>
  </w:style>
  <w:style w:type="paragraph" w:styleId="Title">
    <w:name w:val="Title"/>
    <w:basedOn w:val="Normal"/>
    <w:next w:val="Normal"/>
    <w:link w:val="TitleChar"/>
    <w:uiPriority w:val="10"/>
    <w:qFormat/>
    <w:rsid w:val="00781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19"/>
    <w:pPr>
      <w:spacing w:before="160"/>
      <w:jc w:val="center"/>
    </w:pPr>
    <w:rPr>
      <w:i/>
      <w:iCs/>
      <w:color w:val="404040" w:themeColor="text1" w:themeTint="BF"/>
    </w:rPr>
  </w:style>
  <w:style w:type="character" w:customStyle="1" w:styleId="QuoteChar">
    <w:name w:val="Quote Char"/>
    <w:basedOn w:val="DefaultParagraphFont"/>
    <w:link w:val="Quote"/>
    <w:uiPriority w:val="29"/>
    <w:rsid w:val="00781019"/>
    <w:rPr>
      <w:i/>
      <w:iCs/>
      <w:color w:val="404040" w:themeColor="text1" w:themeTint="BF"/>
    </w:rPr>
  </w:style>
  <w:style w:type="paragraph" w:styleId="ListParagraph">
    <w:name w:val="List Paragraph"/>
    <w:basedOn w:val="Normal"/>
    <w:uiPriority w:val="34"/>
    <w:qFormat/>
    <w:rsid w:val="00781019"/>
    <w:pPr>
      <w:ind w:left="720"/>
      <w:contextualSpacing/>
    </w:pPr>
  </w:style>
  <w:style w:type="character" w:styleId="IntenseEmphasis">
    <w:name w:val="Intense Emphasis"/>
    <w:basedOn w:val="DefaultParagraphFont"/>
    <w:uiPriority w:val="21"/>
    <w:qFormat/>
    <w:rsid w:val="00781019"/>
    <w:rPr>
      <w:i/>
      <w:iCs/>
      <w:color w:val="0F4761" w:themeColor="accent1" w:themeShade="BF"/>
    </w:rPr>
  </w:style>
  <w:style w:type="paragraph" w:styleId="IntenseQuote">
    <w:name w:val="Intense Quote"/>
    <w:basedOn w:val="Normal"/>
    <w:next w:val="Normal"/>
    <w:link w:val="IntenseQuoteChar"/>
    <w:uiPriority w:val="30"/>
    <w:qFormat/>
    <w:rsid w:val="00781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19"/>
    <w:rPr>
      <w:i/>
      <w:iCs/>
      <w:color w:val="0F4761" w:themeColor="accent1" w:themeShade="BF"/>
    </w:rPr>
  </w:style>
  <w:style w:type="character" w:styleId="IntenseReference">
    <w:name w:val="Intense Reference"/>
    <w:basedOn w:val="DefaultParagraphFont"/>
    <w:uiPriority w:val="32"/>
    <w:qFormat/>
    <w:rsid w:val="00781019"/>
    <w:rPr>
      <w:b/>
      <w:bCs/>
      <w:smallCaps/>
      <w:color w:val="0F4761" w:themeColor="accent1" w:themeShade="BF"/>
      <w:spacing w:val="5"/>
    </w:rPr>
  </w:style>
  <w:style w:type="character" w:styleId="Hyperlink">
    <w:name w:val="Hyperlink"/>
    <w:uiPriority w:val="99"/>
    <w:rsid w:val="005225F2"/>
    <w:rPr>
      <w:color w:val="287E84"/>
      <w:u w:val="dotted"/>
    </w:rPr>
  </w:style>
  <w:style w:type="paragraph" w:styleId="Header">
    <w:name w:val="header"/>
    <w:basedOn w:val="Normal"/>
    <w:link w:val="HeaderChar"/>
    <w:uiPriority w:val="99"/>
    <w:unhideWhenUsed/>
    <w:rsid w:val="00497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6B8"/>
  </w:style>
  <w:style w:type="paragraph" w:styleId="Footer">
    <w:name w:val="footer"/>
    <w:basedOn w:val="Normal"/>
    <w:link w:val="FooterChar"/>
    <w:uiPriority w:val="99"/>
    <w:unhideWhenUsed/>
    <w:rsid w:val="00497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6B8"/>
  </w:style>
  <w:style w:type="character" w:styleId="UnresolvedMention">
    <w:name w:val="Unresolved Mention"/>
    <w:basedOn w:val="DefaultParagraphFont"/>
    <w:uiPriority w:val="99"/>
    <w:semiHidden/>
    <w:unhideWhenUsed/>
    <w:rsid w:val="006F03F3"/>
    <w:rPr>
      <w:color w:val="605E5C"/>
      <w:shd w:val="clear" w:color="auto" w:fill="E1DFDD"/>
    </w:rPr>
  </w:style>
  <w:style w:type="character" w:styleId="CommentReference">
    <w:name w:val="annotation reference"/>
    <w:basedOn w:val="DefaultParagraphFont"/>
    <w:uiPriority w:val="99"/>
    <w:semiHidden/>
    <w:unhideWhenUsed/>
    <w:rsid w:val="00C36883"/>
    <w:rPr>
      <w:sz w:val="16"/>
      <w:szCs w:val="16"/>
    </w:rPr>
  </w:style>
  <w:style w:type="paragraph" w:styleId="CommentText">
    <w:name w:val="annotation text"/>
    <w:basedOn w:val="Normal"/>
    <w:link w:val="CommentTextChar"/>
    <w:uiPriority w:val="99"/>
    <w:unhideWhenUsed/>
    <w:rsid w:val="00C36883"/>
    <w:pPr>
      <w:spacing w:line="240" w:lineRule="auto"/>
    </w:pPr>
    <w:rPr>
      <w:sz w:val="20"/>
      <w:szCs w:val="20"/>
    </w:rPr>
  </w:style>
  <w:style w:type="character" w:customStyle="1" w:styleId="CommentTextChar">
    <w:name w:val="Comment Text Char"/>
    <w:basedOn w:val="DefaultParagraphFont"/>
    <w:link w:val="CommentText"/>
    <w:uiPriority w:val="99"/>
    <w:rsid w:val="00C36883"/>
    <w:rPr>
      <w:sz w:val="20"/>
      <w:szCs w:val="20"/>
    </w:rPr>
  </w:style>
  <w:style w:type="paragraph" w:styleId="CommentSubject">
    <w:name w:val="annotation subject"/>
    <w:basedOn w:val="CommentText"/>
    <w:next w:val="CommentText"/>
    <w:link w:val="CommentSubjectChar"/>
    <w:uiPriority w:val="99"/>
    <w:semiHidden/>
    <w:unhideWhenUsed/>
    <w:rsid w:val="00C36883"/>
    <w:rPr>
      <w:b/>
      <w:bCs/>
    </w:rPr>
  </w:style>
  <w:style w:type="character" w:customStyle="1" w:styleId="CommentSubjectChar">
    <w:name w:val="Comment Subject Char"/>
    <w:basedOn w:val="CommentTextChar"/>
    <w:link w:val="CommentSubject"/>
    <w:uiPriority w:val="99"/>
    <w:semiHidden/>
    <w:rsid w:val="00C36883"/>
    <w:rPr>
      <w:b/>
      <w:bCs/>
      <w:sz w:val="20"/>
      <w:szCs w:val="20"/>
    </w:rPr>
  </w:style>
  <w:style w:type="character" w:styleId="Mention">
    <w:name w:val="Mention"/>
    <w:basedOn w:val="DefaultParagraphFont"/>
    <w:uiPriority w:val="99"/>
    <w:unhideWhenUsed/>
    <w:rsid w:val="00C368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3654">
      <w:bodyDiv w:val="1"/>
      <w:marLeft w:val="0"/>
      <w:marRight w:val="0"/>
      <w:marTop w:val="0"/>
      <w:marBottom w:val="0"/>
      <w:divBdr>
        <w:top w:val="none" w:sz="0" w:space="0" w:color="auto"/>
        <w:left w:val="none" w:sz="0" w:space="0" w:color="auto"/>
        <w:bottom w:val="none" w:sz="0" w:space="0" w:color="auto"/>
        <w:right w:val="none" w:sz="0" w:space="0" w:color="auto"/>
      </w:divBdr>
    </w:div>
    <w:div w:id="565530185">
      <w:bodyDiv w:val="1"/>
      <w:marLeft w:val="0"/>
      <w:marRight w:val="0"/>
      <w:marTop w:val="0"/>
      <w:marBottom w:val="0"/>
      <w:divBdr>
        <w:top w:val="none" w:sz="0" w:space="0" w:color="auto"/>
        <w:left w:val="none" w:sz="0" w:space="0" w:color="auto"/>
        <w:bottom w:val="none" w:sz="0" w:space="0" w:color="auto"/>
        <w:right w:val="none" w:sz="0" w:space="0" w:color="auto"/>
      </w:divBdr>
    </w:div>
    <w:div w:id="1219324427">
      <w:bodyDiv w:val="1"/>
      <w:marLeft w:val="0"/>
      <w:marRight w:val="0"/>
      <w:marTop w:val="0"/>
      <w:marBottom w:val="0"/>
      <w:divBdr>
        <w:top w:val="none" w:sz="0" w:space="0" w:color="auto"/>
        <w:left w:val="none" w:sz="0" w:space="0" w:color="auto"/>
        <w:bottom w:val="none" w:sz="0" w:space="0" w:color="auto"/>
        <w:right w:val="none" w:sz="0" w:space="0" w:color="auto"/>
      </w:divBdr>
    </w:div>
    <w:div w:id="1699164693">
      <w:bodyDiv w:val="1"/>
      <w:marLeft w:val="0"/>
      <w:marRight w:val="0"/>
      <w:marTop w:val="0"/>
      <w:marBottom w:val="0"/>
      <w:divBdr>
        <w:top w:val="none" w:sz="0" w:space="0" w:color="auto"/>
        <w:left w:val="none" w:sz="0" w:space="0" w:color="auto"/>
        <w:bottom w:val="none" w:sz="0" w:space="0" w:color="auto"/>
        <w:right w:val="none" w:sz="0" w:space="0" w:color="auto"/>
      </w:divBdr>
    </w:div>
    <w:div w:id="20518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ic.gov.au/make-content-accessible"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enquiries@genderequalitycommission.vic.gov.a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vic.gov.au/make-content-accessible"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dffh.vic.gov.au/publications/gender-equality-progress-report-2021-23" TargetMode="External"/><Relationship Id="rId28" Type="http://schemas.openxmlformats.org/officeDocument/2006/relationships/theme" Target="theme/theme1.xml"/><Relationship Id="rId10" Type="http://schemas.openxmlformats.org/officeDocument/2006/relationships/hyperlink" Target="https://www.w3.org/TR/WCAG21/"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vic.gov.au/digital-accessibility-require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48AFE-C746-46AE-AD9E-9A54110ED733}">
  <ds:schemaRefs>
    <ds:schemaRef ds:uri="http://purl.org/dc/elements/1.1/"/>
    <ds:schemaRef ds:uri="http://schemas.microsoft.com/office/infopath/2007/PartnerControls"/>
    <ds:schemaRef ds:uri="5ce0f2b5-5be5-4508-bce9-d7011ece0659"/>
    <ds:schemaRef ds:uri="27cb37dd-16a1-4d7b-8276-5c0e4168f63b"/>
    <ds:schemaRef ds:uri="http://purl.org/dc/terms/"/>
    <ds:schemaRef ds:uri="http://schemas.microsoft.com/office/2006/documentManagement/types"/>
    <ds:schemaRef ds:uri="http://schemas.openxmlformats.org/package/2006/metadata/core-properties"/>
    <ds:schemaRef ds:uri="50f00e27-c35f-46eb-9301-c9e2bd24673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1DABF7-054B-4916-B30F-57EE841F30F7}">
  <ds:schemaRefs>
    <ds:schemaRef ds:uri="http://schemas.microsoft.com/sharepoint/v3/contenttype/forms"/>
  </ds:schemaRefs>
</ds:datastoreItem>
</file>

<file path=customXml/itemProps3.xml><?xml version="1.0" encoding="utf-8"?>
<ds:datastoreItem xmlns:ds="http://schemas.openxmlformats.org/officeDocument/2006/customXml" ds:itemID="{E2A7C012-FC2C-4DC7-9809-A30965B8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Links>
    <vt:vector size="12" baseType="variant">
      <vt:variant>
        <vt:i4>3801190</vt:i4>
      </vt:variant>
      <vt:variant>
        <vt:i4>3</vt:i4>
      </vt:variant>
      <vt:variant>
        <vt:i4>0</vt:i4>
      </vt:variant>
      <vt:variant>
        <vt:i4>5</vt:i4>
      </vt:variant>
      <vt:variant>
        <vt:lpwstr>https://www.vic.gov.au/make-content-accessible</vt:lpwstr>
      </vt:variant>
      <vt:variant>
        <vt:lpwstr/>
      </vt:variant>
      <vt:variant>
        <vt:i4>1900562</vt:i4>
      </vt:variant>
      <vt:variant>
        <vt:i4>0</vt:i4>
      </vt:variant>
      <vt:variant>
        <vt:i4>0</vt:i4>
      </vt:variant>
      <vt:variant>
        <vt:i4>5</vt:i4>
      </vt:variant>
      <vt:variant>
        <vt:lpwstr>https://www.w3.org/TR/WCAG21/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Gibson (CGEPS)</dc:creator>
  <cp:keywords/>
  <dc:description/>
  <cp:lastModifiedBy>Andrew Elkson (CGEPS)</cp:lastModifiedBy>
  <cp:revision>2</cp:revision>
  <dcterms:created xsi:type="dcterms:W3CDTF">2024-12-19T02:00:00Z</dcterms:created>
  <dcterms:modified xsi:type="dcterms:W3CDTF">2024-12-19T02:00:00Z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ies>
</file>